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0"/>
        <w:tabs>
          <w:tab w:val="left" w:pos="426" w:leader="none"/>
        </w:tabs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900"/>
        <w:tabs>
          <w:tab w:val="left" w:pos="426" w:leader="none"/>
        </w:tabs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900"/>
        <w:jc w:val="center"/>
        <w:tabs>
          <w:tab w:val="left" w:pos="426" w:leader="none"/>
        </w:tabs>
        <w:rPr>
          <w:b/>
        </w:rPr>
      </w:pPr>
      <w:r>
        <w:rPr>
          <w:b/>
        </w:rPr>
        <w:t xml:space="preserve">ТЕ</w:t>
      </w:r>
      <w:r>
        <w:rPr>
          <w:b/>
        </w:rPr>
        <w:t xml:space="preserve">Х</w:t>
      </w:r>
      <w:r>
        <w:rPr>
          <w:b/>
        </w:rPr>
        <w:t xml:space="preserve">НИЧЕСКОЕ ЗАДАНИЕ</w:t>
      </w:r>
      <w:r>
        <w:rPr>
          <w:b/>
        </w:rPr>
      </w:r>
      <w:r>
        <w:rPr>
          <w:b/>
        </w:rPr>
      </w:r>
    </w:p>
    <w:p>
      <w:pPr>
        <w:pStyle w:val="900"/>
        <w:jc w:val="both"/>
        <w:tabs>
          <w:tab w:val="left" w:pos="426" w:leader="none"/>
        </w:tabs>
      </w:pPr>
      <w:r/>
      <w:r/>
    </w:p>
    <w:p>
      <w:pPr>
        <w:pStyle w:val="900"/>
        <w:numPr>
          <w:ilvl w:val="0"/>
          <w:numId w:val="5"/>
        </w:numPr>
        <w:ind w:left="0" w:firstLine="0"/>
        <w:jc w:val="both"/>
        <w:tabs>
          <w:tab w:val="left" w:pos="426" w:leader="none"/>
        </w:tabs>
      </w:pPr>
      <w:r>
        <w:rPr>
          <w:b/>
        </w:rPr>
        <w:t xml:space="preserve">Наименование работ</w:t>
      </w:r>
      <w:r>
        <w:rPr>
          <w:b/>
        </w:rPr>
        <w:t xml:space="preserve"> (номенклатура) и перечень объектов, на которых будут </w:t>
      </w:r>
      <w:r>
        <w:rPr>
          <w:b/>
        </w:rPr>
        <w:t xml:space="preserve">выполняться работы</w:t>
      </w:r>
      <w:r>
        <w:rPr>
          <w:b/>
        </w:rPr>
        <w:t xml:space="preserve">.</w:t>
      </w:r>
      <w:r/>
    </w:p>
    <w:p>
      <w:pPr>
        <w:pStyle w:val="900"/>
        <w:jc w:val="both"/>
        <w:tabs>
          <w:tab w:val="left" w:pos="426" w:leader="none"/>
        </w:tabs>
      </w:pPr>
      <w:r>
        <w:t xml:space="preserve"> </w:t>
      </w:r>
      <w:r>
        <w:t xml:space="preserve">«</w:t>
      </w:r>
      <w:r>
        <w:t xml:space="preserve">Ремонт и т</w:t>
      </w:r>
      <w:r>
        <w:t xml:space="preserve">ехническое обслуживание </w:t>
      </w:r>
      <w:r>
        <w:t xml:space="preserve">ГПМ</w:t>
      </w:r>
      <w:r>
        <w:t xml:space="preserve"> для</w:t>
      </w:r>
      <w:r>
        <w:t xml:space="preserve"> </w:t>
      </w:r>
      <w:r>
        <w:t xml:space="preserve">ООО «БашРТС-Уфа» филиала </w:t>
      </w:r>
      <w:r>
        <w:t xml:space="preserve">ООО «БашРТС»</w:t>
      </w:r>
      <w:r>
        <w:t xml:space="preserve">.</w:t>
      </w:r>
      <w:r>
        <w:t xml:space="preserve"> </w:t>
      </w:r>
      <w:r/>
    </w:p>
    <w:p>
      <w:pPr>
        <w:pStyle w:val="90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Место нахождение</w:t>
      </w:r>
      <w:r>
        <w:rPr>
          <w:color w:val="000000"/>
          <w:spacing w:val="-1"/>
        </w:rPr>
        <w:t xml:space="preserve">: г. Уфа.</w:t>
      </w:r>
      <w:r>
        <w:rPr>
          <w:color w:val="000000"/>
          <w:spacing w:val="-1"/>
        </w:rPr>
      </w:r>
      <w:r>
        <w:rPr>
          <w:color w:val="000000"/>
          <w:spacing w:val="-1"/>
        </w:rPr>
      </w:r>
    </w:p>
    <w:p>
      <w:pPr>
        <w:pStyle w:val="936"/>
        <w:numPr>
          <w:ilvl w:val="0"/>
          <w:numId w:val="5"/>
        </w:numPr>
        <w:ind w:left="1572" w:hanging="1572"/>
        <w:jc w:val="both"/>
        <w:tabs>
          <w:tab w:val="left" w:pos="426" w:leader="none"/>
        </w:tabs>
        <w:rPr>
          <w:b/>
        </w:rPr>
      </w:pPr>
      <w:r>
        <w:rPr>
          <w:b/>
        </w:rPr>
        <w:t xml:space="preserve">Общие требования</w:t>
      </w:r>
      <w:r>
        <w:rPr>
          <w:b/>
        </w:rPr>
        <w:t xml:space="preserve">.</w:t>
      </w:r>
      <w:r>
        <w:rPr>
          <w:b/>
        </w:rPr>
      </w:r>
      <w:r>
        <w:rPr>
          <w:b/>
        </w:rPr>
      </w:r>
    </w:p>
    <w:p>
      <w:pPr>
        <w:pStyle w:val="936"/>
        <w:numPr>
          <w:ilvl w:val="1"/>
          <w:numId w:val="5"/>
        </w:numPr>
        <w:ind w:left="1572" w:hanging="1572"/>
        <w:jc w:val="both"/>
        <w:tabs>
          <w:tab w:val="left" w:pos="426" w:leader="none"/>
        </w:tabs>
        <w:rPr>
          <w:b/>
        </w:rPr>
      </w:pPr>
      <w:r>
        <w:rPr>
          <w:b/>
        </w:rPr>
        <w:t xml:space="preserve">Основание для выполнения работ</w:t>
      </w:r>
      <w:r>
        <w:rPr>
          <w:b/>
        </w:rPr>
        <w:t xml:space="preserve">.</w:t>
      </w:r>
      <w:r>
        <w:rPr>
          <w:b/>
        </w:rPr>
      </w:r>
      <w:r>
        <w:rPr>
          <w:b/>
        </w:rPr>
      </w:r>
    </w:p>
    <w:p>
      <w:pPr>
        <w:pStyle w:val="936"/>
        <w:ind w:left="0"/>
        <w:jc w:val="both"/>
        <w:tabs>
          <w:tab w:val="left" w:pos="426" w:leader="none"/>
        </w:tabs>
      </w:pPr>
      <w:r>
        <w:tab/>
      </w:r>
      <w:r>
        <w:t xml:space="preserve">Основанием для выполнения </w:t>
      </w:r>
      <w:r>
        <w:t xml:space="preserve">т</w:t>
      </w:r>
      <w:r>
        <w:t xml:space="preserve">ехническо</w:t>
      </w:r>
      <w:r>
        <w:t xml:space="preserve">го</w:t>
      </w:r>
      <w:r>
        <w:t xml:space="preserve"> обслуживани</w:t>
      </w:r>
      <w:r>
        <w:t xml:space="preserve">я</w:t>
      </w:r>
      <w:r>
        <w:t xml:space="preserve"> </w:t>
      </w:r>
      <w:r>
        <w:t xml:space="preserve">и ремонта кранов</w:t>
      </w:r>
      <w:r>
        <w:t xml:space="preserve">,</w:t>
      </w:r>
      <w:r>
        <w:t xml:space="preserve"> управляемых с пола</w:t>
      </w:r>
      <w:r>
        <w:t xml:space="preserve"> </w:t>
      </w:r>
      <w:r>
        <w:t xml:space="preserve">является</w:t>
      </w:r>
      <w:r>
        <w:t xml:space="preserve"> программа</w:t>
      </w:r>
      <w:r>
        <w:t xml:space="preserve"> ремонтов </w:t>
      </w:r>
      <w:r>
        <w:t xml:space="preserve">ООО «БашРТС» на 2026</w:t>
      </w:r>
      <w:r>
        <w:t xml:space="preserve"> год.</w:t>
      </w:r>
      <w:r/>
    </w:p>
    <w:p>
      <w:pPr>
        <w:pStyle w:val="900"/>
        <w:jc w:val="both"/>
        <w:tabs>
          <w:tab w:val="left" w:pos="426" w:leader="none"/>
        </w:tabs>
        <w:rPr>
          <w:b/>
        </w:rPr>
      </w:pPr>
      <w:r>
        <w:rPr>
          <w:b/>
        </w:rPr>
        <w:t xml:space="preserve">2.2</w:t>
      </w:r>
      <w:r>
        <w:rPr>
          <w:b/>
        </w:rPr>
        <w:t xml:space="preserve"> Требо</w:t>
      </w:r>
      <w:r>
        <w:rPr>
          <w:b/>
        </w:rPr>
        <w:t xml:space="preserve">вания к срокам выполнения работ</w:t>
      </w:r>
      <w:r>
        <w:rPr>
          <w:b/>
        </w:rPr>
        <w:t xml:space="preserve">.</w:t>
      </w:r>
      <w:r>
        <w:rPr>
          <w:b/>
        </w:rPr>
      </w:r>
      <w:r>
        <w:rPr>
          <w:b/>
        </w:rPr>
      </w:r>
    </w:p>
    <w:p>
      <w:pPr>
        <w:pStyle w:val="900"/>
        <w:jc w:val="both"/>
        <w:tabs>
          <w:tab w:val="left" w:pos="426" w:leader="none"/>
        </w:tabs>
      </w:pPr>
      <w:r>
        <w:tab/>
      </w:r>
      <w:r>
        <w:t xml:space="preserve">Н</w:t>
      </w:r>
      <w:r>
        <w:t xml:space="preserve">ачало работ </w:t>
      </w:r>
      <w:r>
        <w:t xml:space="preserve">– с момента заключения договора</w:t>
      </w:r>
      <w:r>
        <w:t xml:space="preserve"> (не позднее 07.2026 г.)</w:t>
      </w:r>
      <w:r>
        <w:t xml:space="preserve">, </w:t>
      </w:r>
      <w:r/>
    </w:p>
    <w:p>
      <w:pPr>
        <w:pStyle w:val="900"/>
        <w:jc w:val="both"/>
        <w:tabs>
          <w:tab w:val="left" w:pos="426" w:leader="none"/>
        </w:tabs>
      </w:pPr>
      <w:r>
        <w:tab/>
        <w:t xml:space="preserve">О</w:t>
      </w:r>
      <w:r>
        <w:t xml:space="preserve">кончание работ</w:t>
      </w:r>
      <w:r>
        <w:t xml:space="preserve"> –</w:t>
      </w:r>
      <w:r>
        <w:t xml:space="preserve">  </w:t>
      </w:r>
      <w:r>
        <w:t xml:space="preserve">31.12.2026</w:t>
      </w:r>
      <w:r>
        <w:t xml:space="preserve"> </w:t>
      </w:r>
      <w:r>
        <w:t xml:space="preserve">г</w:t>
      </w:r>
      <w:r>
        <w:t xml:space="preserve">о</w:t>
      </w:r>
      <w:r>
        <w:t xml:space="preserve">да.</w:t>
      </w:r>
      <w:r/>
    </w:p>
    <w:p>
      <w:pPr>
        <w:pStyle w:val="940"/>
        <w:spacing w:line="240" w:lineRule="auto"/>
        <w:widowControl w:val="off"/>
        <w:tabs>
          <w:tab w:val="left" w:pos="142" w:leader="none"/>
          <w:tab w:val="left" w:pos="720" w:leader="none"/>
        </w:tabs>
        <w:rPr>
          <w:b/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 w:eastAsia="ru-RU"/>
        </w:rPr>
        <w:t xml:space="preserve">2.3</w:t>
      </w:r>
      <w:r>
        <w:rPr>
          <w:b/>
          <w:sz w:val="24"/>
          <w:szCs w:val="24"/>
          <w:lang w:val="ru-RU" w:eastAsia="ru-RU"/>
        </w:rPr>
        <w:t xml:space="preserve"> Нормативные требования к </w:t>
      </w:r>
      <w:r>
        <w:rPr>
          <w:b/>
          <w:sz w:val="24"/>
          <w:szCs w:val="24"/>
          <w:lang w:val="ru-RU" w:eastAsia="ru-RU"/>
        </w:rPr>
        <w:t xml:space="preserve">качеству работ</w:t>
      </w:r>
      <w:r>
        <w:rPr>
          <w:b/>
          <w:sz w:val="24"/>
          <w:szCs w:val="24"/>
          <w:lang w:val="ru-RU" w:eastAsia="ru-RU"/>
        </w:rPr>
        <w:t xml:space="preserve">, и их результату.</w:t>
      </w:r>
      <w:r>
        <w:rPr>
          <w:b/>
          <w:sz w:val="24"/>
          <w:szCs w:val="24"/>
          <w:lang w:val="ru-RU" w:eastAsia="ru-RU"/>
        </w:rPr>
      </w:r>
      <w:r>
        <w:rPr>
          <w:b/>
          <w:sz w:val="24"/>
          <w:szCs w:val="24"/>
          <w:lang w:val="ru-RU" w:eastAsia="ru-RU"/>
        </w:rPr>
      </w:r>
    </w:p>
    <w:p>
      <w:pPr>
        <w:pStyle w:val="940"/>
        <w:spacing w:line="240" w:lineRule="auto"/>
        <w:widowControl w:val="off"/>
        <w:tabs>
          <w:tab w:val="left" w:pos="142" w:leader="none"/>
          <w:tab w:val="left" w:pos="426" w:leader="none"/>
        </w:tabs>
        <w:rPr>
          <w:sz w:val="24"/>
          <w:szCs w:val="24"/>
          <w:lang w:val="ru-RU" w:eastAsia="ru-RU"/>
        </w:rPr>
      </w:pPr>
      <w:r>
        <w:rPr>
          <w:bCs/>
          <w:sz w:val="24"/>
          <w:szCs w:val="24"/>
          <w:lang w:val="ru-RU" w:eastAsia="ru-RU"/>
        </w:rPr>
        <w:tab/>
        <w:tab/>
      </w:r>
      <w:r>
        <w:rPr>
          <w:bCs/>
          <w:sz w:val="24"/>
          <w:szCs w:val="24"/>
          <w:lang w:val="ru-RU" w:eastAsia="ru-RU"/>
        </w:rPr>
        <w:t xml:space="preserve">Все </w:t>
      </w:r>
      <w:r>
        <w:rPr>
          <w:bCs/>
          <w:sz w:val="24"/>
          <w:szCs w:val="24"/>
          <w:lang w:val="ru-RU" w:eastAsia="ru-RU"/>
        </w:rPr>
        <w:t xml:space="preserve">работы</w:t>
      </w:r>
      <w:r>
        <w:rPr>
          <w:bCs/>
          <w:sz w:val="24"/>
          <w:szCs w:val="24"/>
          <w:lang w:val="ru-RU" w:eastAsia="ru-RU"/>
        </w:rPr>
        <w:t xml:space="preserve"> должны выполняться в соответствии </w:t>
      </w:r>
      <w:r>
        <w:rPr>
          <w:bCs/>
          <w:sz w:val="24"/>
          <w:szCs w:val="24"/>
          <w:lang w:val="ru-RU" w:eastAsia="ru-RU"/>
        </w:rPr>
        <w:t xml:space="preserve">с </w:t>
      </w:r>
      <w:r>
        <w:rPr>
          <w:bCs/>
          <w:sz w:val="24"/>
          <w:szCs w:val="24"/>
          <w:lang w:val="ru-RU" w:eastAsia="ru-RU"/>
        </w:rPr>
        <w:t xml:space="preserve">техническим заданием, утвержденным Заказч</w:t>
      </w:r>
      <w:r>
        <w:rPr>
          <w:bCs/>
          <w:sz w:val="24"/>
          <w:szCs w:val="24"/>
          <w:lang w:val="ru-RU" w:eastAsia="ru-RU"/>
        </w:rPr>
        <w:t xml:space="preserve">и</w:t>
      </w:r>
      <w:r>
        <w:rPr>
          <w:bCs/>
          <w:sz w:val="24"/>
          <w:szCs w:val="24"/>
          <w:lang w:val="ru-RU" w:eastAsia="ru-RU"/>
        </w:rPr>
        <w:t xml:space="preserve">ком, которое являет</w:t>
      </w:r>
      <w:r>
        <w:rPr>
          <w:bCs/>
          <w:sz w:val="24"/>
          <w:szCs w:val="24"/>
          <w:lang w:val="ru-RU" w:eastAsia="ru-RU"/>
        </w:rPr>
        <w:t xml:space="preserve">ся неотъемлемой частью договора.</w:t>
      </w:r>
      <w:r>
        <w:rPr>
          <w:sz w:val="24"/>
          <w:szCs w:val="24"/>
          <w:lang w:val="ru-RU" w:eastAsia="ru-RU"/>
        </w:rPr>
      </w:r>
      <w:r>
        <w:rPr>
          <w:sz w:val="24"/>
          <w:szCs w:val="24"/>
          <w:lang w:val="ru-RU" w:eastAsia="ru-RU"/>
        </w:rPr>
      </w:r>
    </w:p>
    <w:p>
      <w:pPr>
        <w:pStyle w:val="900"/>
        <w:jc w:val="both"/>
        <w:tabs>
          <w:tab w:val="left" w:pos="426" w:leader="none"/>
          <w:tab w:val="num" w:pos="2561" w:leader="none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 xml:space="preserve">При проведении работ должны выполняться требования следующих документов:</w:t>
      </w:r>
      <w:r>
        <w:rPr>
          <w:color w:val="000000"/>
        </w:rPr>
      </w:r>
      <w:r>
        <w:rPr>
          <w:color w:val="000000"/>
        </w:rPr>
      </w:r>
    </w:p>
    <w:p>
      <w:pPr>
        <w:pStyle w:val="900"/>
        <w:ind w:firstLine="567"/>
        <w:jc w:val="both"/>
        <w:tabs>
          <w:tab w:val="left" w:pos="426" w:leader="none"/>
        </w:tabs>
        <w:rPr>
          <w:lang w:val="en-US" w:eastAsia="en-US"/>
        </w:rPr>
      </w:pPr>
      <w:r>
        <w:rPr>
          <w:lang w:eastAsia="en-US"/>
        </w:rPr>
        <w:t xml:space="preserve">- </w:t>
      </w:r>
      <w:r>
        <w:rPr>
          <w:lang w:val="en-US" w:eastAsia="en-US"/>
        </w:rPr>
        <w:t xml:space="preserve">Требования «Правил организации технического обслуживания и ремонта оборудования, зданий и сооружений электростанций и сетей»</w:t>
      </w:r>
      <w:r>
        <w:rPr>
          <w:lang w:eastAsia="en-US"/>
        </w:rPr>
        <w:t xml:space="preserve">;</w:t>
      </w:r>
      <w:r>
        <w:rPr>
          <w:lang w:val="en-US" w:eastAsia="en-US"/>
        </w:rPr>
        <w:t xml:space="preserve"> 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900"/>
        <w:ind w:firstLine="567"/>
        <w:jc w:val="both"/>
        <w:tabs>
          <w:tab w:val="left" w:pos="426" w:leader="none"/>
        </w:tabs>
        <w:rPr>
          <w:lang w:eastAsia="en-US"/>
        </w:rPr>
      </w:pPr>
      <w:r>
        <w:rPr>
          <w:lang w:eastAsia="en-US"/>
        </w:rPr>
        <w:t xml:space="preserve">- ФНП и правил в области промышленной безопасности «Правила безопасности опасных производственных объектов, на которых используются подъемные сооружения» в </w:t>
      </w:r>
      <w:r>
        <w:rPr>
          <w:lang w:eastAsia="en-US"/>
        </w:rPr>
        <w:t xml:space="preserve">соответствии с</w:t>
      </w:r>
      <w:r>
        <w:rPr>
          <w:lang w:eastAsia="en-US"/>
        </w:rPr>
        <w:t xml:space="preserve"> Приказ</w:t>
      </w:r>
      <w:r>
        <w:rPr>
          <w:lang w:eastAsia="en-US"/>
        </w:rPr>
        <w:t xml:space="preserve">ом</w:t>
      </w:r>
      <w:r>
        <w:rPr>
          <w:lang w:eastAsia="en-US"/>
        </w:rPr>
        <w:t xml:space="preserve"> Ростехнадзора от </w:t>
      </w:r>
      <w:r>
        <w:rPr>
          <w:lang w:eastAsia="en-US"/>
        </w:rPr>
        <w:t xml:space="preserve">26</w:t>
      </w:r>
      <w:r>
        <w:rPr>
          <w:lang w:eastAsia="en-US"/>
        </w:rPr>
        <w:t xml:space="preserve">.</w:t>
      </w:r>
      <w:r>
        <w:rPr>
          <w:lang w:eastAsia="en-US"/>
        </w:rPr>
        <w:t xml:space="preserve">11</w:t>
      </w:r>
      <w:r>
        <w:rPr>
          <w:lang w:eastAsia="en-US"/>
        </w:rPr>
        <w:t xml:space="preserve">.20</w:t>
      </w:r>
      <w:r>
        <w:rPr>
          <w:lang w:eastAsia="en-US"/>
        </w:rPr>
        <w:t xml:space="preserve">20</w:t>
      </w:r>
      <w:r>
        <w:rPr>
          <w:lang w:eastAsia="en-US"/>
        </w:rPr>
        <w:t xml:space="preserve"> № </w:t>
      </w:r>
      <w:r>
        <w:rPr>
          <w:lang w:eastAsia="en-US"/>
        </w:rPr>
        <w:t xml:space="preserve">461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900"/>
        <w:jc w:val="both"/>
        <w:tabs>
          <w:tab w:val="left" w:pos="426" w:leader="none"/>
        </w:tabs>
        <w:rPr>
          <w:b/>
        </w:rPr>
      </w:pPr>
      <w:r>
        <w:rPr>
          <w:lang w:eastAsia="en-US"/>
        </w:rPr>
        <w:tab/>
      </w:r>
      <w:r>
        <w:rPr>
          <w:lang w:val="en-US" w:eastAsia="en-US"/>
        </w:rPr>
        <w:t xml:space="preserve">Все материалы, изделия и конструкции, применяемые при ремонтных работах должны соответствовать требованиям НТД, ГОСТов, ТУ;</w:t>
      </w:r>
      <w:r>
        <w:rPr>
          <w:b/>
        </w:rPr>
      </w:r>
      <w:r>
        <w:rPr>
          <w:b/>
        </w:rPr>
      </w:r>
    </w:p>
    <w:p>
      <w:pPr>
        <w:pStyle w:val="900"/>
        <w:jc w:val="both"/>
        <w:tabs>
          <w:tab w:val="left" w:pos="426" w:leader="none"/>
        </w:tabs>
        <w:rPr>
          <w:b/>
        </w:rPr>
      </w:pPr>
      <w:r>
        <w:rPr>
          <w:b/>
        </w:rPr>
        <w:t xml:space="preserve">3. </w:t>
      </w:r>
      <w:r>
        <w:rPr>
          <w:b/>
        </w:rPr>
        <w:t xml:space="preserve">Требования к выполнению работ</w:t>
      </w:r>
      <w:r>
        <w:rPr>
          <w:b/>
        </w:rPr>
        <w:t xml:space="preserve">.</w:t>
      </w:r>
      <w:r>
        <w:rPr>
          <w:b/>
        </w:rPr>
      </w:r>
      <w:r>
        <w:rPr>
          <w:b/>
        </w:rPr>
      </w:r>
    </w:p>
    <w:p>
      <w:pPr>
        <w:pStyle w:val="900"/>
        <w:jc w:val="both"/>
        <w:rPr>
          <w:b/>
        </w:rPr>
      </w:pPr>
      <w:r>
        <w:rPr>
          <w:b/>
        </w:rPr>
        <w:t xml:space="preserve">3.1 Требование к объёмам выполняемых работ</w:t>
      </w:r>
      <w:r>
        <w:rPr>
          <w:b/>
        </w:rPr>
        <w:t xml:space="preserve">: </w:t>
      </w:r>
      <w:r>
        <w:rPr>
          <w:b/>
        </w:rPr>
      </w:r>
      <w:r>
        <w:rPr>
          <w:b/>
        </w:rPr>
      </w:r>
    </w:p>
    <w:p>
      <w:pPr>
        <w:pStyle w:val="900"/>
        <w:jc w:val="both"/>
        <w:tabs>
          <w:tab w:val="left" w:pos="426" w:leader="none"/>
        </w:tabs>
      </w:pPr>
      <w:r>
        <w:tab/>
      </w:r>
      <w:r>
        <w:t xml:space="preserve">Объем работ указан в Приложении 1 к ТЗ.</w:t>
      </w:r>
      <w:r/>
    </w:p>
    <w:p>
      <w:pPr>
        <w:pStyle w:val="900"/>
        <w:jc w:val="both"/>
      </w:pPr>
      <w:r>
        <w:t xml:space="preserve">       При выполнении</w:t>
      </w:r>
      <w:r>
        <w:t xml:space="preserve"> технического обслуживания должны быть выполнены</w:t>
      </w:r>
      <w:r>
        <w:t xml:space="preserve">:</w:t>
      </w:r>
      <w:r/>
    </w:p>
    <w:p>
      <w:pPr>
        <w:pStyle w:val="900"/>
        <w:jc w:val="both"/>
      </w:pPr>
      <w:r>
        <w:t xml:space="preserve">- техническое обслуживание и ремонт </w:t>
      </w:r>
      <w:r>
        <w:t xml:space="preserve">монорельсов подкрановых путей;</w:t>
      </w:r>
      <w:r/>
    </w:p>
    <w:p>
      <w:pPr>
        <w:pStyle w:val="900"/>
        <w:jc w:val="both"/>
      </w:pPr>
      <w:r>
        <w:t xml:space="preserve">- техническое обслуживание и ремонт механизмов передвижения;</w:t>
      </w:r>
      <w:r/>
    </w:p>
    <w:p>
      <w:pPr>
        <w:pStyle w:val="900"/>
        <w:jc w:val="both"/>
      </w:pPr>
      <w:r>
        <w:t xml:space="preserve">- </w:t>
      </w:r>
      <w:r>
        <w:t xml:space="preserve">т</w:t>
      </w:r>
      <w:r>
        <w:t xml:space="preserve">ехническое обслуживание и ремонт механической </w:t>
      </w:r>
      <w:r>
        <w:t xml:space="preserve">части тали электрической</w:t>
      </w:r>
      <w:r/>
    </w:p>
    <w:p>
      <w:pPr>
        <w:pStyle w:val="900"/>
        <w:jc w:val="both"/>
      </w:pPr>
      <w:r>
        <w:t xml:space="preserve">- техническое обслуживание и ремонт блоков полиспастов;</w:t>
      </w:r>
      <w:r/>
    </w:p>
    <w:p>
      <w:pPr>
        <w:pStyle w:val="900"/>
        <w:jc w:val="both"/>
      </w:pPr>
      <w:r>
        <w:t xml:space="preserve">- техническое обслуживание и ремонт электрической части;</w:t>
      </w:r>
      <w:r/>
    </w:p>
    <w:p>
      <w:pPr>
        <w:pStyle w:val="900"/>
        <w:jc w:val="both"/>
      </w:pPr>
      <w:r>
        <w:t xml:space="preserve">- Рихтовка высотного положения направляющих;</w:t>
      </w:r>
      <w:r/>
    </w:p>
    <w:p>
      <w:pPr>
        <w:pStyle w:val="900"/>
        <w:jc w:val="both"/>
      </w:pPr>
      <w:r>
        <w:t xml:space="preserve">- Ремонт тупиковых упоров;</w:t>
      </w:r>
      <w:r/>
    </w:p>
    <w:p>
      <w:pPr>
        <w:ind w:left="0" w:right="0" w:firstLine="0"/>
        <w:jc w:val="both"/>
        <w:rPr>
          <w14:ligatures w14:val="none"/>
        </w:rPr>
      </w:pPr>
      <w:r>
        <w:t xml:space="preserve">- Замена (монтаж-демонтаж) тельфера;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00"/>
        <w:jc w:val="both"/>
      </w:pPr>
      <w:r>
        <w:t xml:space="preserve">- Оформление технической документации.</w:t>
      </w:r>
      <w:r/>
    </w:p>
    <w:p>
      <w:pPr>
        <w:pStyle w:val="900"/>
        <w:ind w:firstLine="708"/>
        <w:jc w:val="both"/>
        <w:rPr>
          <w:color w:val="000000"/>
        </w:rPr>
      </w:pPr>
      <w:r>
        <w:rPr>
          <w:color w:val="000000"/>
        </w:rPr>
        <w:t xml:space="preserve">В случае выявления в процессе </w:t>
      </w:r>
      <w:r>
        <w:rPr>
          <w:color w:val="000000"/>
        </w:rPr>
        <w:t xml:space="preserve">технического обслуживания</w:t>
      </w:r>
      <w:r>
        <w:rPr>
          <w:color w:val="000000"/>
        </w:rPr>
        <w:t xml:space="preserve"> дополнительных объемов, не учтенных </w:t>
      </w:r>
      <w:r>
        <w:rPr>
          <w:color w:val="000000"/>
        </w:rPr>
        <w:t xml:space="preserve">ранее</w:t>
      </w:r>
      <w:r>
        <w:rPr>
          <w:color w:val="000000"/>
        </w:rPr>
        <w:t xml:space="preserve">, Подрядчик с участием представителей Заказчика составляет акт с указанием дополн</w:t>
      </w:r>
      <w:r>
        <w:rPr>
          <w:color w:val="000000"/>
        </w:rPr>
        <w:t xml:space="preserve">и</w:t>
      </w:r>
      <w:r>
        <w:rPr>
          <w:color w:val="000000"/>
        </w:rPr>
        <w:t xml:space="preserve">тельных работ и обоснованием необходимости их выполнения. На основании данного акта осуществл</w:t>
      </w:r>
      <w:r>
        <w:rPr>
          <w:color w:val="000000"/>
        </w:rPr>
        <w:t xml:space="preserve">я</w:t>
      </w:r>
      <w:r>
        <w:rPr>
          <w:color w:val="000000"/>
        </w:rPr>
        <w:t xml:space="preserve">ется корректировка стоимости работ.</w:t>
      </w:r>
      <w:r>
        <w:rPr>
          <w:color w:val="000000"/>
        </w:rPr>
      </w:r>
      <w:r>
        <w:rPr>
          <w:color w:val="000000"/>
        </w:rPr>
      </w:r>
    </w:p>
    <w:p>
      <w:pPr>
        <w:pStyle w:val="936"/>
        <w:ind w:left="0"/>
        <w:jc w:val="both"/>
        <w:tabs>
          <w:tab w:val="left" w:pos="426" w:leader="none"/>
          <w:tab w:val="left" w:pos="1276" w:leader="none"/>
        </w:tabs>
        <w:rPr>
          <w:b/>
        </w:rPr>
      </w:pPr>
      <w:r>
        <w:rPr>
          <w:b/>
        </w:rPr>
        <w:t xml:space="preserve">3.2 Требования к последовательности этапов выполнения работ</w:t>
      </w:r>
      <w:r>
        <w:rPr>
          <w:b/>
        </w:rPr>
      </w:r>
      <w:r>
        <w:rPr>
          <w:b/>
        </w:rPr>
      </w:r>
    </w:p>
    <w:p>
      <w:pPr>
        <w:pStyle w:val="900"/>
        <w:ind w:firstLine="284"/>
        <w:jc w:val="both"/>
        <w:tabs>
          <w:tab w:val="left" w:pos="426" w:leader="none"/>
          <w:tab w:val="num" w:pos="2561" w:leader="none"/>
        </w:tabs>
      </w:pPr>
      <w:r>
        <w:t xml:space="preserve">- </w:t>
      </w:r>
      <w:r>
        <w:t xml:space="preserve">Подрядчик </w:t>
      </w:r>
      <w:r>
        <w:t xml:space="preserve">обязан не позднее 15 суток после подписания договора р</w:t>
      </w:r>
      <w:r>
        <w:t xml:space="preserve">азработать и соглас</w:t>
      </w:r>
      <w:r>
        <w:t xml:space="preserve">овать график производства работ</w:t>
      </w:r>
      <w:r>
        <w:t xml:space="preserve">, который после согласования с Заказчиком становится неотъемлемой частью договора и обязателен для исполнения Подрядчиком.</w:t>
      </w:r>
      <w:r/>
    </w:p>
    <w:p>
      <w:pPr>
        <w:pStyle w:val="936"/>
        <w:ind w:left="0"/>
        <w:jc w:val="both"/>
        <w:tabs>
          <w:tab w:val="left" w:pos="426" w:leader="none"/>
          <w:tab w:val="left" w:pos="1276" w:leader="none"/>
        </w:tabs>
      </w:pPr>
      <w:r>
        <w:rPr>
          <w:b/>
        </w:rPr>
        <w:t xml:space="preserve">3.3</w:t>
      </w:r>
      <w:r>
        <w:rPr>
          <w:b/>
        </w:rPr>
        <w:tab/>
      </w:r>
      <w:r>
        <w:rPr>
          <w:b/>
        </w:rPr>
        <w:t xml:space="preserve">Требования к</w:t>
      </w:r>
      <w:r>
        <w:rPr>
          <w:b/>
        </w:rPr>
        <w:t xml:space="preserve"> организации обеспечения </w:t>
      </w:r>
      <w:r>
        <w:rPr>
          <w:b/>
        </w:rPr>
        <w:t xml:space="preserve">работ</w:t>
      </w:r>
      <w:r>
        <w:rPr>
          <w:b/>
        </w:rPr>
        <w:t xml:space="preserve">. </w:t>
      </w:r>
      <w:r/>
    </w:p>
    <w:p>
      <w:pPr>
        <w:pStyle w:val="900"/>
        <w:jc w:val="both"/>
        <w:tabs>
          <w:tab w:val="left" w:pos="700" w:leader="none"/>
        </w:tabs>
      </w:pPr>
      <w:r>
        <w:t xml:space="preserve">3.3</w:t>
      </w:r>
      <w:r>
        <w:t xml:space="preserve">.1.</w:t>
        <w:tab/>
        <w:t xml:space="preserve">Заказчик и подрядчик распорядительными документами по организациям определяют ответственных представителей для решения административных и технических вопросов. О произведенных назначениях Заказчик и исполнители ремонта информируют друг друга письменно.</w:t>
      </w:r>
      <w:r/>
    </w:p>
    <w:p>
      <w:pPr>
        <w:pStyle w:val="900"/>
        <w:jc w:val="both"/>
        <w:tabs>
          <w:tab w:val="left" w:pos="700" w:leader="none"/>
        </w:tabs>
      </w:pPr>
      <w:r>
        <w:t xml:space="preserve">3.3.2.</w:t>
        <w:tab/>
        <w:t xml:space="preserve">Подрядчик обеспечивает своими силами получение, разгрузку и доставку на место складирования грузов, непосредственно необходимых для выполнения работ.</w:t>
      </w:r>
      <w:r/>
    </w:p>
    <w:p>
      <w:pPr>
        <w:pStyle w:val="900"/>
        <w:jc w:val="both"/>
        <w:tabs>
          <w:tab w:val="left" w:pos="700" w:leader="none"/>
        </w:tabs>
      </w:pPr>
      <w:r>
        <w:t xml:space="preserve">3.3.3.</w:t>
        <w:tab/>
        <w:t xml:space="preserve">Подрядчик обеспечивает безопасность труда своего персонала в пределах принятого объема работ, согласно требований правил по охране труда, а также противопожарные мероприятия.</w:t>
      </w:r>
      <w:r/>
    </w:p>
    <w:p>
      <w:pPr>
        <w:pStyle w:val="900"/>
        <w:jc w:val="both"/>
        <w:tabs>
          <w:tab w:val="left" w:pos="700" w:leader="none"/>
        </w:tabs>
      </w:pPr>
      <w:r>
        <w:t xml:space="preserve">3.3.4.</w:t>
        <w:tab/>
        <w:t xml:space="preserve">Обеспечение энергоснабжения работ, выполняемых подрядчиком, подключение электроприводов механизмов и инс</w:t>
      </w:r>
      <w:r>
        <w:t xml:space="preserve">трумента, средств электросварки и термообработки обеспечивается заказчиком по предварительным заявкам руководителей работ по общим нарядам, поданным начальнику смены, в соответствии с требованиями «Правил по охране труда при эксплуатации электроустановок».</w:t>
      </w:r>
      <w:r/>
    </w:p>
    <w:p>
      <w:pPr>
        <w:pStyle w:val="900"/>
        <w:jc w:val="both"/>
        <w:tabs>
          <w:tab w:val="left" w:pos="700" w:leader="none"/>
        </w:tabs>
      </w:pPr>
      <w:r>
        <w:t xml:space="preserve">3.3.5.</w:t>
        <w:tab/>
        <w:t xml:space="preserve">Обеспечение работ, выполняемых подрядчиком, сжатым воздухом и кислородом осуществляется от стационарных станционных трубопроводов подачи технического воздуха и кислорода.</w:t>
      </w:r>
      <w:r/>
    </w:p>
    <w:p>
      <w:pPr>
        <w:pStyle w:val="900"/>
        <w:jc w:val="both"/>
        <w:tabs>
          <w:tab w:val="left" w:pos="700" w:leader="none"/>
        </w:tabs>
      </w:pPr>
      <w:r>
        <w:t xml:space="preserve">3.3.6.</w:t>
        <w:tab/>
        <w:t xml:space="preserve">Работы по перемещению грузов мостовыми кранами осуществляются с привлечением крановщиков из числа персонала заказчика, стропальщики привлекаются из числа персонала подрядчика.</w:t>
      </w:r>
      <w:r/>
    </w:p>
    <w:p>
      <w:pPr>
        <w:pStyle w:val="900"/>
        <w:jc w:val="both"/>
        <w:tabs>
          <w:tab w:val="left" w:pos="700" w:leader="none"/>
        </w:tabs>
      </w:pPr>
      <w:r>
        <w:t xml:space="preserve">3.3.7.</w:t>
        <w:tab/>
        <w:t xml:space="preserve">Место временного накопления отходов на территории заказчика, образованных в результате исполнения обязательств, подрядчик обязан до начала производства работ согласовать с заказчиком.</w:t>
      </w:r>
      <w:r/>
    </w:p>
    <w:p>
      <w:pPr>
        <w:pStyle w:val="900"/>
        <w:jc w:val="both"/>
        <w:tabs>
          <w:tab w:val="left" w:pos="700" w:leader="none"/>
        </w:tabs>
      </w:pPr>
      <w:r>
        <w:t xml:space="preserve">3.3.8.</w:t>
        <w:tab/>
        <w:t xml:space="preserve">Всё демонтированное оборудование (чёрного и цветного металла), после исполнения обяза</w:t>
      </w:r>
      <w:r>
        <w:t xml:space="preserve">тельств по договору, являются собственностью заказчика. Непригодные материалы и металлолом должны сдаваться подрядчиком на склад заказчика. Передача заказчику утилизируемого или не утилизируемого оборудования и материалов оформляется соответствующим актом.</w:t>
      </w:r>
      <w:r/>
    </w:p>
    <w:p>
      <w:pPr>
        <w:pStyle w:val="900"/>
        <w:jc w:val="both"/>
        <w:tabs>
          <w:tab w:val="left" w:pos="700" w:leader="none"/>
        </w:tabs>
      </w:pPr>
      <w:r>
        <w:t xml:space="preserve">3.3.9.</w:t>
        <w:tab/>
        <w:t xml:space="preserve">Подрядчик должен самостоятельно производить сбор, вывоз и утилизацию отходов получаемых при проведении работ.</w:t>
      </w:r>
      <w:r/>
    </w:p>
    <w:p>
      <w:pPr>
        <w:pStyle w:val="900"/>
        <w:jc w:val="both"/>
        <w:tabs>
          <w:tab w:val="left" w:pos="783" w:leader="none"/>
        </w:tabs>
      </w:pPr>
      <w:r>
        <w:t xml:space="preserve">3.3.10.</w:t>
        <w:tab/>
        <w:t xml:space="preserve">Подрядчик самостоятельно обеспечивает свой </w:t>
      </w:r>
      <w:r>
        <w:t xml:space="preserve">персонал бытовыми помещениями, путем установки бытовых вагончиков на территории станции в согласованных с заказчиком местах. Заказчик может предоставить подрядчику бытовые помещения и мастерские на правах аренды, после заключения соответствующих договоров.</w:t>
      </w:r>
      <w:r/>
    </w:p>
    <w:p>
      <w:pPr>
        <w:pStyle w:val="900"/>
        <w:jc w:val="both"/>
        <w:tabs>
          <w:tab w:val="left" w:pos="788" w:leader="none"/>
        </w:tabs>
      </w:pPr>
      <w:r>
        <w:t xml:space="preserve">3.3.11.</w:t>
        <w:tab/>
        <w:t xml:space="preserve">Подрядчик должен под свою ответственность и за свой счет произвести обеспечение работ необходимой уни</w:t>
      </w:r>
      <w:r>
        <w:t xml:space="preserve">версальной технологической оснасткой, средствами малой механизации, инструментом, грузоподъемными механизмами (талями, лебедками и т.п.), съемными грузозахватными приспособлениями, необходимыми для выполнения работ в объеме настоящего технического задания.</w:t>
      </w:r>
      <w:r/>
    </w:p>
    <w:p>
      <w:pPr>
        <w:pStyle w:val="900"/>
        <w:jc w:val="both"/>
        <w:tabs>
          <w:tab w:val="left" w:pos="486" w:leader="none"/>
        </w:tabs>
        <w:rPr>
          <w:b/>
        </w:rPr>
        <w:outlineLvl w:val="4"/>
      </w:pPr>
      <w:r/>
      <w:bookmarkStart w:id="0" w:name="bookmark164"/>
      <w:r>
        <w:rPr>
          <w:b/>
        </w:rPr>
        <w:t xml:space="preserve">3.4.</w:t>
        <w:tab/>
        <w:t xml:space="preserve">Требования к применяемым материалам и оборудованию</w:t>
      </w:r>
      <w:bookmarkEnd w:id="0"/>
      <w:r>
        <w:rPr>
          <w:b/>
        </w:rPr>
      </w:r>
      <w:r>
        <w:rPr>
          <w:b/>
        </w:rPr>
      </w:r>
    </w:p>
    <w:p>
      <w:pPr>
        <w:pStyle w:val="900"/>
        <w:jc w:val="both"/>
      </w:pPr>
      <w:r>
        <w:t xml:space="preserve">3.4.1.</w:t>
        <w:tab/>
        <w:t xml:space="preserve">Все используемые для выполнения работ материалы и оборудование должны соответствовать, обязательным нормативно-техническим документам, стандартам, а также иметь соответствующие сертификаты,</w:t>
      </w:r>
      <w:r>
        <w:t xml:space="preserve"> </w:t>
      </w:r>
      <w:r>
        <w:t xml:space="preserve">технические паспорта, аттестаты и другие документы, предусмотренные действующим законодательством, а также удостоверяющие их качество.</w:t>
      </w:r>
      <w:r/>
    </w:p>
    <w:p>
      <w:pPr>
        <w:pStyle w:val="900"/>
        <w:jc w:val="both"/>
        <w:tabs>
          <w:tab w:val="left" w:pos="663" w:leader="none"/>
        </w:tabs>
      </w:pPr>
      <w:r>
        <w:t xml:space="preserve">3.4.2.</w:t>
        <w:tab/>
        <w:t xml:space="preserve">Заказчик совместно с подрядчиком осуществляет входной контроль качества применяемых материалов с составлением соответствующей документацией.</w:t>
      </w:r>
      <w:r/>
    </w:p>
    <w:p>
      <w:pPr>
        <w:pStyle w:val="900"/>
        <w:jc w:val="both"/>
        <w:tabs>
          <w:tab w:val="left" w:pos="663" w:leader="none"/>
        </w:tabs>
      </w:pPr>
      <w:r>
        <w:t xml:space="preserve"> 3.4.3</w:t>
      </w:r>
      <w:r>
        <w:t xml:space="preserve">.</w:t>
        <w:tab/>
        <w:t xml:space="preserve">Затраты подрядчика на выполнение работ по входному контролю товаров должны быть учтены при составлении смет</w:t>
      </w:r>
      <w:r>
        <w:t xml:space="preserve">ного расчета. Стоимость товаров, </w:t>
      </w:r>
      <w:r>
        <w:t xml:space="preserve">поставляемых подрядчиком входит в цену договора.</w:t>
      </w:r>
      <w:r/>
    </w:p>
    <w:p>
      <w:pPr>
        <w:pStyle w:val="900"/>
        <w:jc w:val="both"/>
        <w:tabs>
          <w:tab w:val="left" w:pos="668" w:leader="none"/>
        </w:tabs>
      </w:pPr>
      <w:r>
        <w:t xml:space="preserve">3.4.4</w:t>
      </w:r>
      <w:r>
        <w:t xml:space="preserve">.</w:t>
        <w:tab/>
        <w:t xml:space="preserve">Подготовку и хранение МТР необходимо производить за пределами рабочей зоны и доставлять к месту проведения работ подготовительными к применению.</w:t>
      </w:r>
      <w:r/>
    </w:p>
    <w:p>
      <w:pPr>
        <w:pStyle w:val="900"/>
        <w:jc w:val="both"/>
        <w:tabs>
          <w:tab w:val="left" w:pos="663" w:leader="none"/>
        </w:tabs>
      </w:pPr>
      <w:r>
        <w:t xml:space="preserve">3.4.5</w:t>
      </w:r>
      <w:r>
        <w:t xml:space="preserve">.</w:t>
        <w:tab/>
        <w:t xml:space="preserve">Подрядчик отвечает за соответствие качества материалов, применяемых при производстве работ, государственным стандартам и техническим условиям и несет риск убытков, связанных с их ненадлежащим качеством.</w:t>
      </w:r>
      <w:r/>
    </w:p>
    <w:p>
      <w:pPr>
        <w:pStyle w:val="900"/>
        <w:jc w:val="both"/>
        <w:tabs>
          <w:tab w:val="left" w:pos="854" w:leader="none"/>
        </w:tabs>
      </w:pPr>
      <w:r>
        <w:t xml:space="preserve">3.4.6. </w:t>
      </w:r>
      <w:r>
        <w:t xml:space="preserve">При проведении сварочных работ подрядчик обязан использовать только аттестованное сварочное оборудование для проведения следующих видов сварки:</w:t>
      </w:r>
      <w:r/>
    </w:p>
    <w:p>
      <w:pPr>
        <w:pStyle w:val="900"/>
        <w:jc w:val="both"/>
      </w:pPr>
      <w:r>
        <w:t xml:space="preserve">- РД - Ручная дуговая сварка покрытыми электродами;</w:t>
      </w:r>
      <w:r/>
    </w:p>
    <w:p>
      <w:pPr>
        <w:pStyle w:val="900"/>
        <w:jc w:val="both"/>
        <w:rPr>
          <w:rFonts w:ascii="Segoe UI" w:hAnsi="Segoe UI" w:cs="Segoe UI"/>
          <w:color w:val="000000"/>
          <w:highlight w:val="none"/>
        </w:rPr>
      </w:pPr>
      <w:r>
        <w:t xml:space="preserve">3.4.7. </w:t>
      </w:r>
      <w:r>
        <w:rPr>
          <w:rFonts w:ascii="Segoe UI" w:hAnsi="Segoe UI" w:cs="Segoe UI"/>
          <w:color w:val="000000"/>
          <w:highlight w:val="none"/>
        </w:rPr>
      </w:r>
      <w:r/>
      <w:r>
        <w:t xml:space="preserve">Применяемые при измерительном контроле приборы и инструменты </w:t>
      </w:r>
      <w:r>
        <w:rPr>
          <w:color w:val="212121"/>
        </w:rPr>
        <w:t xml:space="preserve">(нивелир, шаблон сварщика универсальный,  лазерный дальномер) </w:t>
      </w:r>
      <w:r>
        <w:t xml:space="preserve">должны быть сертифицированы (внесены в реестр средств измерений), поверены или откалиброваны. </w:t>
      </w:r>
      <w:r/>
      <w:r/>
      <w:r/>
      <w:r>
        <w:rPr>
          <w:rFonts w:ascii="Segoe UI" w:hAnsi="Segoe UI" w:cs="Segoe UI"/>
          <w:color w:val="000000"/>
          <w:highlight w:val="none"/>
        </w:rPr>
      </w:r>
      <w:r/>
      <w:r/>
      <w:r>
        <w:rPr>
          <w:rFonts w:ascii="Segoe UI" w:hAnsi="Segoe UI" w:cs="Segoe UI"/>
          <w:color w:val="000000"/>
          <w:highlight w:val="none"/>
        </w:rPr>
      </w:r>
    </w:p>
    <w:p>
      <w:pPr>
        <w:pStyle w:val="900"/>
        <w:jc w:val="both"/>
        <w:tabs>
          <w:tab w:val="left" w:pos="567" w:leader="none"/>
          <w:tab w:val="left" w:pos="709" w:leader="none"/>
        </w:tabs>
        <w:rPr>
          <w:rFonts w:ascii="Segoe UI" w:hAnsi="Segoe UI" w:cs="Segoe UI"/>
          <w:color w:val="000000"/>
          <w:highlight w:val="none"/>
        </w:rPr>
      </w:pPr>
      <w:r>
        <w:t xml:space="preserve">3.4.8. </w:t>
      </w:r>
      <w:r>
        <w:rPr>
          <w:color w:val="212121"/>
        </w:rPr>
        <w:t xml:space="preserve">При этом используемые при выполнении работ материалы и поставляемое оборудование должно соответствовать требованиям, установленным</w:t>
      </w:r>
      <w:r>
        <w:rPr>
          <w:color w:val="212121"/>
        </w:rPr>
        <w:t xml:space="preserve">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постановлением.</w:t>
      </w:r>
      <w:r>
        <w:rPr>
          <w:rFonts w:ascii="Segoe UI" w:hAnsi="Segoe UI" w:cs="Segoe UI"/>
          <w:color w:val="000000"/>
          <w:highlight w:val="none"/>
        </w:rPr>
      </w:r>
      <w:r>
        <w:rPr>
          <w:rFonts w:ascii="Segoe UI" w:hAnsi="Segoe UI" w:cs="Segoe UI"/>
          <w:color w:val="000000"/>
          <w:highlight w:val="none"/>
        </w:rPr>
      </w:r>
    </w:p>
    <w:p>
      <w:pPr>
        <w:pStyle w:val="900"/>
        <w:jc w:val="both"/>
      </w:pPr>
      <w:r/>
      <w:r/>
    </w:p>
    <w:p>
      <w:pPr>
        <w:pStyle w:val="900"/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pStyle w:val="900"/>
        <w:jc w:val="both"/>
      </w:pPr>
      <w:r/>
      <w:r/>
    </w:p>
    <w:p>
      <w:pPr>
        <w:pStyle w:val="900"/>
        <w:jc w:val="both"/>
      </w:pPr>
      <w:r/>
      <w:r/>
    </w:p>
    <w:p>
      <w:pPr>
        <w:pStyle w:val="900"/>
        <w:jc w:val="both"/>
        <w:tabs>
          <w:tab w:val="left" w:pos="490" w:leader="none"/>
        </w:tabs>
        <w:rPr>
          <w:b/>
        </w:rPr>
        <w:outlineLvl w:val="4"/>
      </w:pPr>
      <w:r/>
      <w:bookmarkStart w:id="1" w:name="bookmark165"/>
      <w:r>
        <w:rPr>
          <w:b/>
        </w:rPr>
        <w:t xml:space="preserve">3.5.</w:t>
        <w:tab/>
        <w:t xml:space="preserve">Требования безопасности</w:t>
      </w:r>
      <w:bookmarkEnd w:id="1"/>
      <w:r>
        <w:rPr>
          <w:b/>
        </w:rPr>
      </w:r>
      <w:r>
        <w:rPr>
          <w:b/>
        </w:rPr>
      </w:r>
    </w:p>
    <w:p>
      <w:pPr>
        <w:pStyle w:val="900"/>
        <w:jc w:val="both"/>
        <w:tabs>
          <w:tab w:val="left" w:pos="658" w:leader="none"/>
        </w:tabs>
      </w:pPr>
      <w:r>
        <w:t xml:space="preserve">3.5.1.</w:t>
        <w:tab/>
        <w:t xml:space="preserve">Подрядчик несёт ответственность за обеспечение своих работников средствами индивидуальной защиты, инструментом и приспособлениями, необходимыми для выполнения работ.</w:t>
      </w:r>
      <w:r/>
    </w:p>
    <w:p>
      <w:pPr>
        <w:pStyle w:val="900"/>
        <w:jc w:val="both"/>
        <w:tabs>
          <w:tab w:val="left" w:pos="668" w:leader="none"/>
        </w:tabs>
      </w:pPr>
      <w:r>
        <w:t xml:space="preserve">3.5.2.</w:t>
        <w:tab/>
        <w:t xml:space="preserve">Персонал подрядчика должен пройти предварительный медосмотр и проходить его периодически.</w:t>
      </w:r>
      <w:r/>
    </w:p>
    <w:p>
      <w:pPr>
        <w:pStyle w:val="900"/>
        <w:jc w:val="both"/>
        <w:tabs>
          <w:tab w:val="left" w:pos="663" w:leader="none"/>
        </w:tabs>
      </w:pPr>
      <w:r>
        <w:t xml:space="preserve">3.5.3.</w:t>
        <w:tab/>
        <w:t xml:space="preserve">Персонал подрядчика до начала работ должен пройти обучение и проверку знаний по пожарной безопасности в объеме пожарно-технического минимума.</w:t>
      </w:r>
      <w:r/>
    </w:p>
    <w:p>
      <w:pPr>
        <w:pStyle w:val="900"/>
        <w:jc w:val="both"/>
        <w:tabs>
          <w:tab w:val="left" w:pos="663" w:leader="none"/>
        </w:tabs>
      </w:pPr>
      <w:r>
        <w:t xml:space="preserve">3.5.2.</w:t>
        <w:tab/>
        <w:t xml:space="preserve">Персонал подрядчика во время нахождения на территории заказчика должен иметь при себе удостоверение о прохождении проверки знаний </w:t>
      </w:r>
      <w:r>
        <w:t xml:space="preserve">требований нормативных документов по технической эксплуатации, охране труда, пожарной и промышленной безопасности. Право допуска к выполнению поручаемых работ, в соответствии с договором, должно быть подтверждено письмом руководителя подрядной организации.</w:t>
      </w:r>
      <w:r/>
    </w:p>
    <w:p>
      <w:pPr>
        <w:pStyle w:val="900"/>
        <w:jc w:val="both"/>
        <w:tabs>
          <w:tab w:val="left" w:pos="663" w:leader="none"/>
        </w:tabs>
      </w:pPr>
      <w:r>
        <w:t xml:space="preserve">3.5.3.</w:t>
        <w:tab/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(безопасности), инструкции о проведении огневых работ на территории заказчика.</w:t>
      </w:r>
      <w:r/>
    </w:p>
    <w:p>
      <w:pPr>
        <w:pStyle w:val="900"/>
        <w:jc w:val="both"/>
      </w:pPr>
      <w:r>
        <w:t xml:space="preserve">3.5.4.</w:t>
        <w:tab/>
        <w:t xml:space="preserve">Подрядчик обязан предоставлять заказчику всю информацию о состоянии охраны труда, травматизме в своей организации</w:t>
      </w:r>
      <w:r>
        <w:t xml:space="preserve">.</w:t>
      </w:r>
      <w:r>
        <w:t xml:space="preserve"> Подрядчик обязан в течение 15 минут предоставить оперативную информацию в ООТиПБ о произошедшем несчастном случае с персоналом на территории заказчика.</w:t>
      </w:r>
      <w:r/>
    </w:p>
    <w:p>
      <w:pPr>
        <w:pStyle w:val="900"/>
        <w:jc w:val="both"/>
        <w:tabs>
          <w:tab w:val="left" w:pos="690" w:leader="none"/>
        </w:tabs>
      </w:pPr>
      <w:r>
        <w:t xml:space="preserve">3.5.5.</w:t>
        <w:tab/>
        <w:t xml:space="preserve">Подрядчик несет ответственность за причиненные его персоналом убытки, связанные с конфликтами, нарушением дисциплины.</w:t>
      </w:r>
      <w:r/>
    </w:p>
    <w:p>
      <w:pPr>
        <w:pStyle w:val="900"/>
        <w:jc w:val="both"/>
        <w:tabs>
          <w:tab w:val="left" w:pos="690" w:leader="none"/>
        </w:tabs>
      </w:pPr>
      <w:r>
        <w:t xml:space="preserve">3.5.6.</w:t>
        <w:tab/>
        <w:t xml:space="preserve">Подрядчик обязан обеспечить содержание и уборку рабочих мест, на которых выполняются строительно-монтажные работы.</w:t>
      </w:r>
      <w:r/>
    </w:p>
    <w:p>
      <w:pPr>
        <w:pStyle w:val="900"/>
        <w:jc w:val="both"/>
        <w:tabs>
          <w:tab w:val="left" w:pos="690" w:leader="none"/>
        </w:tabs>
      </w:pPr>
      <w:r>
        <w:t xml:space="preserve">3.5.7.</w:t>
        <w:tab/>
        <w:t xml:space="preserve">В случае появления обстоятельств</w:t>
      </w:r>
      <w:r>
        <w:t xml:space="preserve">,</w:t>
      </w:r>
      <w:r>
        <w:t xml:space="preserve"> угрожающих безопасности при проведении работ, а также возникновению пожарной опасности незамедлительно сообщать о них заказчику.</w:t>
      </w:r>
      <w:r/>
    </w:p>
    <w:p>
      <w:pPr>
        <w:pStyle w:val="900"/>
        <w:jc w:val="both"/>
        <w:tabs>
          <w:tab w:val="left" w:pos="690" w:leader="none"/>
        </w:tabs>
      </w:pPr>
      <w:r>
        <w:t xml:space="preserve">3.5.8.</w:t>
        <w:tab/>
        <w:t xml:space="preserve"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  <w:r/>
    </w:p>
    <w:p>
      <w:pPr>
        <w:pStyle w:val="900"/>
        <w:jc w:val="both"/>
        <w:tabs>
          <w:tab w:val="left" w:pos="690" w:leader="none"/>
        </w:tabs>
      </w:pPr>
      <w:r>
        <w:t xml:space="preserve">3.5.9.</w:t>
        <w:tab/>
        <w:t xml:space="preserve">Работы, при проведении которых возможно повреждение оборудования заказчика или нанесения </w:t>
      </w:r>
      <w:r>
        <w:t xml:space="preserve">вреда здоровью персонала, должны производиться по проекту производства работ (ППР), согласованному с заказчиком. Разработку ППР выполняет подрядчик. Решение о необходимости разработки ППР для конкретной работы должно быть согласовано подрядчиком с заказчик</w:t>
      </w:r>
      <w:r>
        <w:t xml:space="preserve">ом. Не позднее, чем за 20 суток после заключения договора подрядчик должен разработать и согласовать с заказчиком ППР в соответствии с требованиями нормативно-технической документации. В ППР необходимо отразить выполнение требований нормативных документов.</w:t>
      </w:r>
      <w:r/>
    </w:p>
    <w:p>
      <w:pPr>
        <w:pStyle w:val="900"/>
        <w:jc w:val="both"/>
        <w:tabs>
          <w:tab w:val="left" w:pos="528" w:leader="none"/>
        </w:tabs>
        <w:rPr>
          <w:b/>
        </w:rPr>
        <w:outlineLvl w:val="4"/>
      </w:pPr>
      <w:r/>
      <w:bookmarkStart w:id="2" w:name="bookmark166"/>
      <w:r>
        <w:rPr>
          <w:b/>
        </w:rPr>
        <w:t xml:space="preserve">3.6.</w:t>
        <w:tab/>
        <w:t xml:space="preserve">Требования к порядку подготовки и передачи заказчику документов при проведении работ и их завершении</w:t>
      </w:r>
      <w:bookmarkEnd w:id="2"/>
      <w:r>
        <w:rPr>
          <w:b/>
        </w:rPr>
      </w:r>
      <w:r>
        <w:rPr>
          <w:b/>
        </w:rPr>
      </w:r>
    </w:p>
    <w:p>
      <w:pPr>
        <w:pStyle w:val="900"/>
        <w:jc w:val="both"/>
      </w:pPr>
      <w:r>
        <w:t xml:space="preserve">Подрядчик предоставляет Заказчику отчетную документацию, оформленную согласно требованиям, действующих НТД:</w:t>
      </w:r>
      <w:r/>
    </w:p>
    <w:p>
      <w:pPr>
        <w:pStyle w:val="900"/>
        <w:jc w:val="both"/>
        <w:tabs>
          <w:tab w:val="left" w:pos="711" w:leader="none"/>
        </w:tabs>
      </w:pPr>
      <w:r>
        <w:t xml:space="preserve">3.6.1.</w:t>
        <w:tab/>
        <w:t xml:space="preserve">Копии лицензий всех организаций участвовавших в производстве работ, проводивших испытания и измерения.</w:t>
      </w:r>
      <w:r/>
    </w:p>
    <w:p>
      <w:pPr>
        <w:pStyle w:val="900"/>
        <w:jc w:val="both"/>
        <w:tabs>
          <w:tab w:val="left" w:pos="721" w:leader="none"/>
        </w:tabs>
      </w:pPr>
      <w:r>
        <w:t xml:space="preserve">3.6.2.</w:t>
        <w:tab/>
        <w:t xml:space="preserve">Копии удостоверений лиц ответственных за качество сборки, монтажа, проверку качества выполненных работ.</w:t>
      </w:r>
      <w:r/>
    </w:p>
    <w:p>
      <w:pPr>
        <w:pStyle w:val="900"/>
        <w:jc w:val="both"/>
        <w:tabs>
          <w:tab w:val="left" w:pos="730" w:leader="none"/>
        </w:tabs>
      </w:pPr>
      <w:r>
        <w:t xml:space="preserve">3.6.3.</w:t>
        <w:tab/>
        <w:t xml:space="preserve">Копии приказов о назначении ответственных производителей работ, инженеров технического надзора.</w:t>
      </w:r>
      <w:r/>
    </w:p>
    <w:p>
      <w:pPr>
        <w:pStyle w:val="900"/>
        <w:jc w:val="both"/>
        <w:tabs>
          <w:tab w:val="left" w:pos="726" w:leader="none"/>
        </w:tabs>
      </w:pPr>
      <w:r>
        <w:t xml:space="preserve">3.6.4.</w:t>
        <w:tab/>
        <w:t xml:space="preserve">До начала работ подрядчик передает заказчику документы, удостоверяющие качество используемых материалов, конструкций, изделий и оборудования (сертификаты соответствия, сертификаты о пожарной без</w:t>
      </w:r>
      <w:r>
        <w:t xml:space="preserve">опасности, сертификаты качества, паспорта, протоколы испытаний), техническую документацию предприятий-изготовителей (гарантийные талоны, инструкции, руководство по эксплуатации, информационные листы, свидетельство о поверке штатных измерительных приборов).</w:t>
      </w:r>
      <w:r/>
    </w:p>
    <w:p>
      <w:pPr>
        <w:pStyle w:val="900"/>
        <w:jc w:val="both"/>
        <w:tabs>
          <w:tab w:val="left" w:pos="690" w:leader="none"/>
        </w:tabs>
      </w:pPr>
      <w:r>
        <w:t xml:space="preserve">3.6.5</w:t>
      </w:r>
      <w:r>
        <w:t xml:space="preserve">.</w:t>
        <w:tab/>
        <w:t xml:space="preserve">Общий журнал работ (в соответствии с </w:t>
      </w:r>
      <w:r>
        <w:rPr>
          <w:rStyle w:val="963"/>
          <w:color w:val="212121"/>
          <w:shd w:val="clear" w:color="auto" w:fill="ffffff"/>
        </w:rPr>
        <w:t xml:space="preserve">Приказом Минстроя России от 02.12.2022 N 1026/пр</w:t>
      </w:r>
      <w:r>
        <w:t xml:space="preserve">) и специальные журналы работ, в том числе монтажный журнал, журнал сварочных работ, журнал крановых работ, журнал входного контроля, журнал скрытых работ.</w:t>
      </w:r>
      <w:r/>
    </w:p>
    <w:p>
      <w:pPr>
        <w:pStyle w:val="900"/>
        <w:jc w:val="both"/>
        <w:tabs>
          <w:tab w:val="left" w:pos="774" w:leader="none"/>
        </w:tabs>
      </w:pPr>
      <w:r>
        <w:t xml:space="preserve">3.6.6</w:t>
      </w:r>
      <w:r>
        <w:t xml:space="preserve">.</w:t>
        <w:tab/>
        <w:t xml:space="preserve">Документацию в соответствии с правилами организации технического обслуживания и ремонта объектов электроэнергетики, утвержденных Приказом Минэнерго РФ от 25.10.2017 №1013.</w:t>
      </w:r>
      <w:r/>
    </w:p>
    <w:p>
      <w:pPr>
        <w:pStyle w:val="900"/>
        <w:jc w:val="both"/>
        <w:tabs>
          <w:tab w:val="left" w:pos="783" w:leader="none"/>
        </w:tabs>
      </w:pPr>
      <w:r>
        <w:t xml:space="preserve">3.6.7</w:t>
      </w:r>
      <w:r>
        <w:t xml:space="preserve">.</w:t>
        <w:tab/>
        <w:t xml:space="preserve">Приемка выполненных работ осуществляется ежемесячно. Подрядчик не позднее 25-го числа каждого месяца предостав</w:t>
      </w:r>
      <w:r>
        <w:t xml:space="preserve">ляет, оформленные и согласованные с Заказчиком акты о сдаче-приемке выполненных работ унифицированной формы КС-2 (с включением использованных материалов и Подрядчика), справки о стоимости выполненных работ и затрат унифицированной формы КС-3, оригинал счет</w:t>
      </w:r>
      <w:r>
        <w:t xml:space="preserve">а-фактуры и оригинал счета на оплату. Заказчик в течение 10 (десяти) календарных дней должен подписать акт о сдаче- приемке выполненных работ или в тот же срок направить Подрядчику мотивированный отказ от приемки работ. Для составления актов по форме КС-2 </w:t>
      </w:r>
      <w:r>
        <w:t xml:space="preserve">и справок по фо</w:t>
      </w:r>
      <w:r>
        <w:t xml:space="preserve">рме КС-3 применяются унифицированные формы, утвержденные Постановлением Госкомстата РФ от 11.11.99 № 100. Первичные документы (акты сдачи-приемки выполненных работ, счета-фактуры) должны быть проверены и согласованы всеми ответственными лицами и службами.</w:t>
      </w:r>
      <w:r/>
    </w:p>
    <w:p>
      <w:pPr>
        <w:pStyle w:val="900"/>
        <w:ind w:firstLine="360"/>
        <w:jc w:val="both"/>
      </w:pPr>
      <w:r>
        <w:t xml:space="preserve">Несоблюдение вышеуказанных сроков предоставления первичных документов является основанием для отказа в приёмке выполненных работ.</w:t>
      </w:r>
      <w:r/>
    </w:p>
    <w:p>
      <w:pPr>
        <w:pStyle w:val="900"/>
        <w:jc w:val="both"/>
        <w:tabs>
          <w:tab w:val="left" w:pos="778" w:leader="none"/>
        </w:tabs>
        <w:rPr>
          <w:b/>
        </w:rPr>
      </w:pPr>
      <w:r>
        <w:t xml:space="preserve">3.6.8</w:t>
      </w:r>
      <w:r>
        <w:t xml:space="preserve">.</w:t>
        <w:tab/>
        <w:t xml:space="preserve">Окончательная приемка работ по </w:t>
      </w:r>
      <w:r>
        <w:t xml:space="preserve">техническому обслуживанию и ремонту кранов управляемых с пола</w:t>
      </w:r>
      <w:r>
        <w:t xml:space="preserve">, осуществляется комиссией, после проведения приемо-сдаточных испытаний.</w:t>
      </w:r>
      <w:r>
        <w:rPr>
          <w:b/>
        </w:rPr>
      </w:r>
      <w:r>
        <w:rPr>
          <w:b/>
        </w:rPr>
      </w:r>
    </w:p>
    <w:p>
      <w:pPr>
        <w:pStyle w:val="900"/>
        <w:jc w:val="both"/>
        <w:tabs>
          <w:tab w:val="left" w:pos="490" w:leader="none"/>
        </w:tabs>
        <w:rPr>
          <w:b/>
        </w:rPr>
        <w:outlineLvl w:val="4"/>
      </w:pPr>
      <w:r/>
      <w:bookmarkStart w:id="3" w:name="bookmark167"/>
      <w:r>
        <w:rPr>
          <w:b/>
        </w:rPr>
        <w:t xml:space="preserve">3.7.</w:t>
        <w:tab/>
        <w:t xml:space="preserve">Требования к гарантийным обязательствам</w:t>
      </w:r>
      <w:bookmarkEnd w:id="3"/>
      <w:r>
        <w:rPr>
          <w:b/>
        </w:rPr>
      </w:r>
      <w:r>
        <w:rPr>
          <w:b/>
        </w:rPr>
      </w:r>
    </w:p>
    <w:p>
      <w:pPr>
        <w:pStyle w:val="900"/>
        <w:ind w:firstLine="360"/>
        <w:jc w:val="both"/>
      </w:pPr>
      <w:r>
        <w:t xml:space="preserve">Подрядчик должен гарант</w:t>
      </w:r>
      <w:r>
        <w:t xml:space="preserve">ировать соответствие качества выполненных работ и соответствие смонтированного оборудования, поставляемого Подрядчиком, требованиям и нормативам в течение гарантийного срока не менее 12 месяцев с момента подписания заказчиком акта приёмки выполненных работ</w:t>
      </w:r>
      <w:r>
        <w:t xml:space="preserve">. </w:t>
      </w:r>
      <w:r/>
    </w:p>
    <w:p>
      <w:pPr>
        <w:pStyle w:val="900"/>
        <w:ind w:firstLine="360"/>
        <w:jc w:val="both"/>
      </w:pPr>
      <w:r>
        <w:t xml:space="preserve">В с</w:t>
      </w:r>
      <w:r>
        <w:t xml:space="preserve">лучае обнаружения дефектов в течение гарантийного срока подрядчик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</w:t>
      </w:r>
      <w:r/>
    </w:p>
    <w:p>
      <w:pPr>
        <w:pStyle w:val="900"/>
        <w:ind w:firstLine="360"/>
        <w:jc w:val="both"/>
      </w:pPr>
      <w:r>
        <w:t xml:space="preserve">В течение гарантийного срока Подрядчик устраняет все выявленные дефекты за свой счет. В случае если дефекты устраняются силами заказчика или других подрядных организаций, подрядчик должен возместить затраты заказчику на устранение дефектов.</w:t>
      </w:r>
      <w:r/>
    </w:p>
    <w:p>
      <w:pPr>
        <w:pStyle w:val="900"/>
        <w:ind w:firstLine="360"/>
        <w:jc w:val="both"/>
      </w:pPr>
      <w:r>
        <w:t xml:space="preserve">Более полные требования к срокам и условиям устранения неисправностей и дефектов, обнаруженных в течение гарантийного срока, указаны в проекте договора.</w:t>
      </w:r>
      <w:r/>
    </w:p>
    <w:p>
      <w:pPr>
        <w:pStyle w:val="96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Гарантийные обязат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ельства на материалы (за исключением давальческого) должны соответствовать гарантийному сроку завода-изготовителя, указанному в техническом паспорте на оборудование, и составлять не менее 12 месяцев с момента приемки оборудования по транспортной накладной.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00"/>
        <w:jc w:val="both"/>
        <w:tabs>
          <w:tab w:val="left" w:pos="490" w:leader="none"/>
        </w:tabs>
        <w:rPr>
          <w:b/>
        </w:rPr>
        <w:outlineLvl w:val="4"/>
      </w:pPr>
      <w:r/>
      <w:bookmarkStart w:id="4" w:name="bookmark168"/>
      <w:r>
        <w:rPr>
          <w:b/>
        </w:rPr>
        <w:t xml:space="preserve">3.8.</w:t>
        <w:tab/>
        <w:t xml:space="preserve">Ответственность подрядчика</w:t>
      </w:r>
      <w:bookmarkEnd w:id="4"/>
      <w:r>
        <w:rPr>
          <w:b/>
        </w:rPr>
      </w:r>
      <w:r>
        <w:rPr>
          <w:b/>
        </w:rPr>
      </w:r>
    </w:p>
    <w:p>
      <w:pPr>
        <w:pStyle w:val="900"/>
        <w:ind w:firstLine="360"/>
        <w:jc w:val="both"/>
      </w:pPr>
      <w:r>
        <w:t xml:space="preserve">За нарушения условий ТЗ, повлекшие ухудшение результата выполненных работ, заказчик вправе потребовать от подрядчика безвозмездного устранения дефектов и недостатков в сроки, установленные Заказчиком либо соразмерного уменьшения стоимости работ.</w:t>
      </w:r>
      <w:r/>
    </w:p>
    <w:p>
      <w:pPr>
        <w:pStyle w:val="900"/>
        <w:ind w:firstLine="360"/>
        <w:jc w:val="both"/>
      </w:pPr>
      <w:r>
        <w:t xml:space="preserve">Подрядчик отвечает за соответствие качества материалов, применяемых при производстве работ, государственным стандартам и техническим условиям и несет риск убытков, связанных с их ненадлежащим качеством.</w:t>
      </w:r>
      <w:r/>
    </w:p>
    <w:p>
      <w:pPr>
        <w:pStyle w:val="900"/>
        <w:ind w:firstLine="360"/>
        <w:jc w:val="both"/>
      </w:pPr>
      <w:r>
        <w:t xml:space="preserve">Подрядчик несет ответственность за ущерб, причиненный в ходе работы людям, зданиям, оборудованию, за соблюдение требований охраны труда, пожарной и промышленной безопасности в процессе производства работ.</w:t>
      </w:r>
      <w:r/>
    </w:p>
    <w:p>
      <w:pPr>
        <w:pStyle w:val="900"/>
        <w:ind w:firstLine="360"/>
        <w:jc w:val="both"/>
      </w:pPr>
      <w:r>
        <w:t xml:space="preserve">Подрядчик несет ответственность за убытки, понесенные заказчиком вследствие простоя производства (оборудования) по причине неисполнения либо ненадлежащего исполнения подрядчиком своих обязательств по настоящему ТЗ.</w:t>
      </w:r>
      <w:r/>
    </w:p>
    <w:p>
      <w:pPr>
        <w:pStyle w:val="900"/>
        <w:ind w:firstLine="360"/>
        <w:jc w:val="both"/>
      </w:pPr>
      <w:r>
        <w:t xml:space="preserve">Подрядчик, не предупредивший заказчика о необходимости выполнения дополнительных работ, не учтенных в ТЗ, которые могут повлиять на работоспособность оборудования, а также об иных обстоятельствах, которые грозят годн</w:t>
      </w:r>
      <w:r>
        <w:t xml:space="preserve">ости или прочности результатов выполняемой работы либо создают невозможность её завершения в срок, либо продолживший работу, несмотря на своевременное указание Заказчика о прекращении работы, обязан возместить в полном объеме убытки, причинённые Заказчику.</w:t>
      </w:r>
      <w:r/>
    </w:p>
    <w:p>
      <w:pPr>
        <w:pStyle w:val="900"/>
        <w:ind w:firstLine="360"/>
        <w:jc w:val="both"/>
      </w:pPr>
      <w:r>
        <w:t xml:space="preserve">Уплата неустойки и возмещение убытков не освобождает подрядчика от исполнения работ по договору и устранения нарушений.</w:t>
      </w:r>
      <w:r/>
    </w:p>
    <w:p>
      <w:pPr>
        <w:pStyle w:val="900"/>
        <w:ind w:firstLine="360"/>
        <w:jc w:val="both"/>
      </w:pPr>
      <w:r>
        <w:t xml:space="preserve">Подрядчик несет ответственность за причиненные его персоналом убытки, связанные с конфликтами, нарушением дисциплины, неадекватным поведением.</w:t>
      </w:r>
      <w:r/>
    </w:p>
    <w:p>
      <w:pPr>
        <w:pStyle w:val="900"/>
        <w:ind w:firstLine="360"/>
        <w:jc w:val="both"/>
      </w:pPr>
      <w:r>
        <w:t xml:space="preserve">Подрядчик несет ответственность за сохранность МТР и оборудования, передаваемых ему Заказчиком на давальческих условиях.</w:t>
      </w:r>
      <w:r/>
    </w:p>
    <w:p>
      <w:pPr>
        <w:pStyle w:val="900"/>
        <w:ind w:firstLine="360"/>
        <w:jc w:val="both"/>
      </w:pPr>
      <w:r>
        <w:t xml:space="preserve">В случае привлечения подрядчиком субподрядной организации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  <w:r/>
    </w:p>
    <w:p>
      <w:pPr>
        <w:pStyle w:val="900"/>
        <w:jc w:val="both"/>
        <w:tabs>
          <w:tab w:val="left" w:pos="490" w:leader="none"/>
        </w:tabs>
        <w:rPr>
          <w:b/>
        </w:rPr>
        <w:outlineLvl w:val="4"/>
      </w:pPr>
      <w:r>
        <w:rPr>
          <w:b/>
        </w:rPr>
        <w:t xml:space="preserve">3.9.</w:t>
        <w:tab/>
        <w:t xml:space="preserve">Требования к порядку привлечению субподрядчиков</w:t>
      </w:r>
      <w:r>
        <w:rPr>
          <w:b/>
        </w:rPr>
      </w:r>
      <w:r>
        <w:rPr>
          <w:b/>
        </w:rPr>
      </w:r>
    </w:p>
    <w:p>
      <w:pPr>
        <w:pStyle w:val="900"/>
        <w:jc w:val="both"/>
        <w:rPr>
          <w:rFonts w:ascii="Segoe UI" w:hAnsi="Segoe UI" w:cs="Segoe UI"/>
          <w:color w:val="212121"/>
          <w:sz w:val="23"/>
          <w:szCs w:val="23"/>
        </w:rPr>
      </w:pPr>
      <w:r/>
      <w:bookmarkStart w:id="5" w:name="bookmark170"/>
      <w:r>
        <w:rPr>
          <w:color w:val="000000"/>
        </w:rPr>
        <w:t xml:space="preserve">3.9.1. Подрядчик для выполнения работ, указанных в ТЗ, может привлекать субподрядные организации. При этом объем работ, выполняемых привлекаемыми субподрядными организациями, не должен превышать 50% от объема работ по договору.</w:t>
      </w:r>
      <w:r>
        <w:rPr>
          <w:rFonts w:ascii="Segoe UI" w:hAnsi="Segoe UI" w:cs="Segoe UI"/>
          <w:color w:val="212121"/>
          <w:sz w:val="23"/>
          <w:szCs w:val="23"/>
        </w:rPr>
      </w:r>
      <w:r>
        <w:rPr>
          <w:rFonts w:ascii="Segoe UI" w:hAnsi="Segoe UI" w:cs="Segoe UI"/>
          <w:color w:val="212121"/>
          <w:sz w:val="23"/>
          <w:szCs w:val="23"/>
        </w:rPr>
      </w:r>
    </w:p>
    <w:p>
      <w:pPr>
        <w:pStyle w:val="900"/>
        <w:jc w:val="both"/>
        <w:rPr>
          <w:rFonts w:ascii="Segoe UI" w:hAnsi="Segoe UI" w:cs="Segoe UI"/>
          <w:color w:val="212121"/>
          <w:sz w:val="23"/>
          <w:szCs w:val="23"/>
        </w:rPr>
      </w:pPr>
      <w:r>
        <w:rPr>
          <w:color w:val="000000"/>
        </w:rPr>
        <w:t xml:space="preserve">3.9.2. В случае замены или привлечения новых Субподрядчиков после завершения закупочной процедуры, информация о которых ранее не была представлена в его заявке, Подрядчик должен согласовать привлечение таких субподрядных организаций с Заказчиком.</w:t>
      </w:r>
      <w:r>
        <w:rPr>
          <w:rFonts w:ascii="Segoe UI" w:hAnsi="Segoe UI" w:cs="Segoe UI"/>
          <w:color w:val="212121"/>
          <w:sz w:val="23"/>
          <w:szCs w:val="23"/>
        </w:rPr>
      </w:r>
      <w:r>
        <w:rPr>
          <w:rFonts w:ascii="Segoe UI" w:hAnsi="Segoe UI" w:cs="Segoe UI"/>
          <w:color w:val="212121"/>
          <w:sz w:val="23"/>
          <w:szCs w:val="23"/>
        </w:rPr>
      </w:r>
    </w:p>
    <w:p>
      <w:pPr>
        <w:pStyle w:val="900"/>
        <w:jc w:val="both"/>
        <w:rPr>
          <w:rFonts w:ascii="Segoe UI" w:hAnsi="Segoe UI" w:cs="Segoe UI"/>
          <w:color w:val="212121"/>
          <w:sz w:val="23"/>
          <w:szCs w:val="23"/>
        </w:rPr>
      </w:pPr>
      <w:r>
        <w:rPr>
          <w:color w:val="000000"/>
        </w:rPr>
        <w:t xml:space="preserve">3.9.3. Подрядчик в полном объеме несет ответственность за д</w:t>
      </w:r>
      <w:r>
        <w:rPr>
          <w:color w:val="000000"/>
        </w:rPr>
        <w:t xml:space="preserve">ействия субподрядчика, соблюдение персоналом субподрядной организации производственной дисциплины, соблюдением правил и норм по охране труда, а также за соответствие выполняемых субподрядных работ требованиям Заказчика и действующим нормативным документам.</w:t>
      </w:r>
      <w:r>
        <w:rPr>
          <w:rFonts w:ascii="Segoe UI" w:hAnsi="Segoe UI" w:cs="Segoe UI"/>
          <w:color w:val="212121"/>
          <w:sz w:val="23"/>
          <w:szCs w:val="23"/>
        </w:rPr>
      </w:r>
      <w:r>
        <w:rPr>
          <w:rFonts w:ascii="Segoe UI" w:hAnsi="Segoe UI" w:cs="Segoe UI"/>
          <w:color w:val="212121"/>
          <w:sz w:val="23"/>
          <w:szCs w:val="23"/>
        </w:rPr>
      </w:r>
    </w:p>
    <w:p>
      <w:pPr>
        <w:pStyle w:val="900"/>
        <w:jc w:val="both"/>
        <w:tabs>
          <w:tab w:val="left" w:pos="410" w:leader="none"/>
        </w:tabs>
        <w:rPr>
          <w:b/>
        </w:rPr>
        <w:outlineLvl w:val="4"/>
      </w:pPr>
      <w:r>
        <w:rPr>
          <w:b/>
        </w:rPr>
        <w:t xml:space="preserve">4.</w:t>
        <w:tab/>
        <w:t xml:space="preserve">Порядок формирования коммерческого предложения участника, обоснования цены, расчетов, предоставления банковских гарантий</w:t>
      </w:r>
      <w:bookmarkEnd w:id="5"/>
      <w:r>
        <w:rPr>
          <w:b/>
        </w:rPr>
      </w:r>
      <w:r>
        <w:rPr>
          <w:b/>
        </w:rPr>
      </w:r>
    </w:p>
    <w:p>
      <w:pPr>
        <w:pStyle w:val="900"/>
        <w:jc w:val="both"/>
        <w:rPr>
          <w:rFonts w:ascii="Segoe UI" w:hAnsi="Segoe UI" w:cs="Segoe UI"/>
          <w:color w:val="000000"/>
        </w:rPr>
      </w:pPr>
      <w:r/>
      <w:bookmarkStart w:id="6" w:name="bookmark171"/>
      <w:r>
        <w:rPr>
          <w:color w:val="000000"/>
        </w:rPr>
        <w:t xml:space="preserve">4.1. Заказчик в составе конкурсной документации предоставляет утвержденные локальные сметные расчеты (Приложение № 1 к настоящему Техническому заданию), являющиеся неотъемлемой частью настоящего Технического задания.</w:t>
      </w:r>
      <w:r>
        <w:rPr>
          <w:rFonts w:ascii="Segoe UI" w:hAnsi="Segoe UI" w:cs="Segoe UI"/>
          <w:color w:val="000000"/>
        </w:rPr>
      </w:r>
      <w:r>
        <w:rPr>
          <w:rFonts w:ascii="Segoe UI" w:hAnsi="Segoe UI" w:cs="Segoe UI"/>
          <w:color w:val="000000"/>
        </w:rPr>
      </w:r>
    </w:p>
    <w:p>
      <w:pPr>
        <w:pStyle w:val="9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4.2. Объемы работ, расценки, формирующие стоимость работ в объеме настоящего ТЗ являются фиксированными и изменению не подлежат.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4.3. Участник в составе своего предложения должен предоставить согласие с опубликованными сметными расчетами Заказчика по форме Закупочной документации. Предельная (начальная) стоимость работ корректируется применением к опублик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ованным сметным расчетам коэффициента тендерного снижения. При этом принятие смет Заказчика не освобождает Подрядчика от ответственности за формирование качественной сметной документации и ее соответствие оказанным услугам на стадии реализации мероприятий.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4.4. 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Победитель закупочной процедуры в течение 3-х рабочих дней после публикации протокола выбора победителя предоставляет на согласование Заказчику сметные расчеты (в формате ГРАНД и редактируемом формате Excel) как обоснование стоимости его конкурсной заявки.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4.5. Рекомендации по формированию сметной документации указаны 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Приложении № 2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 настоящему Техническому заданию.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4.6. Макс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имальная (начальная) стоимость услуг корректируется применением к сметным расчетам Победителя (составленным с учетом требований п. 4.5 настоящего Технического задания) коэффициента тендерного снижения, а также снижением стоимости материалов и оборудования.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65"/>
        <w:jc w:val="both"/>
        <w:tabs>
          <w:tab w:val="left" w:pos="567" w:leader="none"/>
          <w:tab w:val="left" w:pos="709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4.7. После утверждения сметы Заказчиком величина затрат Подрядчика на выполнение данной работы объеме настоящего Технического задания становится фиксированной и увеличению в процессе выполнения договора не подлежит, даже если окажетс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я, что в смете Подрядчик учел не все свои затраты, которые он фактически понес при выполнение данной работы. Все услуги неучтенные Подрядчиком, но необходимые для выполнения работ по настоящему Техническому заданию, выполняются силами и за счет Подрядчика.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4.8. 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оговор на оказание услуг в объеме настоящего ТЗ заключается после согласования и утверждения смет Заказчиком. При этом цена договора определяется утверждённой сметой и не может превышать цену конкурсной заявки Участника, указанной в письме о подаче оферты.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4.9. Полная информация о порядке расчётов отражена в проекте Договора.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00"/>
        <w:jc w:val="both"/>
        <w:tabs>
          <w:tab w:val="left" w:pos="320" w:leader="none"/>
        </w:tabs>
        <w:rPr>
          <w:b/>
        </w:rPr>
        <w:outlineLvl w:val="4"/>
      </w:pPr>
      <w:r>
        <w:rPr>
          <w:b/>
        </w:rPr>
        <w:t xml:space="preserve">5.</w:t>
        <w:tab/>
        <w:t xml:space="preserve">Требование к участникам закупки</w:t>
      </w:r>
      <w:bookmarkEnd w:id="6"/>
      <w:r>
        <w:rPr>
          <w:b/>
        </w:rPr>
      </w:r>
      <w:r>
        <w:rPr>
          <w:b/>
        </w:rPr>
      </w:r>
    </w:p>
    <w:p>
      <w:pPr>
        <w:pStyle w:val="900"/>
        <w:jc w:val="both"/>
        <w:tabs>
          <w:tab w:val="left" w:pos="499" w:leader="none"/>
        </w:tabs>
        <w:rPr>
          <w:b/>
        </w:rPr>
        <w:outlineLvl w:val="4"/>
      </w:pPr>
      <w:r/>
      <w:bookmarkStart w:id="7" w:name="bookmark172"/>
      <w:r>
        <w:rPr>
          <w:b/>
        </w:rPr>
        <w:t xml:space="preserve">5.1.</w:t>
        <w:tab/>
        <w:t xml:space="preserve">Требования о наличии кадровых ресурсов и их квалификации</w:t>
      </w:r>
      <w:bookmarkEnd w:id="7"/>
      <w:r>
        <w:rPr>
          <w:b/>
        </w:rPr>
      </w:r>
      <w:r>
        <w:rPr>
          <w:b/>
        </w:rPr>
      </w:r>
    </w:p>
    <w:p>
      <w:pPr>
        <w:pStyle w:val="900"/>
        <w:jc w:val="both"/>
        <w:rPr>
          <w:rFonts w:ascii="Segoe UI" w:hAnsi="Segoe UI" w:cs="Segoe UI"/>
          <w:color w:val="212121"/>
          <w:sz w:val="23"/>
          <w:szCs w:val="23"/>
        </w:rPr>
      </w:pPr>
      <w:r/>
      <w:bookmarkStart w:id="8" w:name="bookmark173"/>
      <w:r>
        <w:rPr>
          <w:color w:val="000000"/>
        </w:rPr>
        <w:t xml:space="preserve">Участник закупки предоставляет в составе своего предложения справку о кадровых ресурсах по форме, указанной в закупочной документации, подтверждающую наличие персонала необходимого для выполнения работ, являющихся предметом закупки, не менее чем:</w:t>
      </w:r>
      <w:r>
        <w:rPr>
          <w:rFonts w:ascii="Segoe UI" w:hAnsi="Segoe UI" w:cs="Segoe UI"/>
          <w:color w:val="212121"/>
          <w:sz w:val="23"/>
          <w:szCs w:val="23"/>
        </w:rPr>
      </w:r>
      <w:r>
        <w:rPr>
          <w:rFonts w:ascii="Segoe UI" w:hAnsi="Segoe UI" w:cs="Segoe UI"/>
          <w:color w:val="212121"/>
          <w:sz w:val="23"/>
          <w:szCs w:val="23"/>
        </w:rPr>
      </w:r>
    </w:p>
    <w:p>
      <w:pPr>
        <w:pStyle w:val="900"/>
        <w:jc w:val="both"/>
        <w:rPr>
          <w:rFonts w:ascii="Segoe UI" w:hAnsi="Segoe UI" w:cs="Segoe UI"/>
          <w:color w:val="212121"/>
          <w:sz w:val="23"/>
          <w:szCs w:val="23"/>
        </w:rPr>
      </w:pPr>
      <w:r>
        <w:rPr>
          <w:color w:val="000000"/>
        </w:rPr>
        <w:t xml:space="preserve"> </w:t>
      </w:r>
      <w:r>
        <w:rPr>
          <w:rFonts w:ascii="Segoe UI" w:hAnsi="Segoe UI" w:cs="Segoe UI"/>
          <w:color w:val="212121"/>
          <w:sz w:val="23"/>
          <w:szCs w:val="23"/>
        </w:rPr>
      </w:r>
      <w:r>
        <w:rPr>
          <w:rFonts w:ascii="Segoe UI" w:hAnsi="Segoe UI" w:cs="Segoe UI"/>
          <w:color w:val="212121"/>
          <w:sz w:val="23"/>
          <w:szCs w:val="23"/>
        </w:rPr>
      </w:r>
    </w:p>
    <w:p>
      <w:pPr>
        <w:pStyle w:val="900"/>
        <w:ind w:firstLine="207"/>
        <w:jc w:val="both"/>
        <w:rPr>
          <w:rFonts w:ascii="Segoe UI" w:hAnsi="Segoe UI" w:cs="Segoe UI"/>
          <w:color w:val="212121"/>
          <w:sz w:val="23"/>
          <w:szCs w:val="23"/>
        </w:rPr>
      </w:pPr>
      <w:r>
        <w:rPr>
          <w:color w:val="000000"/>
        </w:rPr>
        <w:t xml:space="preserve">- Мастер (механик) - 1 человек,</w:t>
      </w:r>
      <w:r>
        <w:rPr>
          <w:rFonts w:ascii="Segoe UI" w:hAnsi="Segoe UI" w:cs="Segoe UI"/>
          <w:color w:val="212121"/>
          <w:sz w:val="23"/>
          <w:szCs w:val="23"/>
        </w:rPr>
      </w:r>
      <w:r>
        <w:rPr>
          <w:rFonts w:ascii="Segoe UI" w:hAnsi="Segoe UI" w:cs="Segoe UI"/>
          <w:color w:val="212121"/>
          <w:sz w:val="23"/>
          <w:szCs w:val="23"/>
        </w:rPr>
      </w:r>
    </w:p>
    <w:p>
      <w:pPr>
        <w:pStyle w:val="900"/>
        <w:ind w:firstLine="207"/>
        <w:jc w:val="both"/>
        <w:rPr>
          <w:rFonts w:ascii="Segoe UI" w:hAnsi="Segoe UI" w:cs="Segoe UI"/>
          <w:color w:val="212121"/>
          <w:sz w:val="23"/>
          <w:szCs w:val="23"/>
        </w:rPr>
      </w:pPr>
      <w:r>
        <w:rPr>
          <w:color w:val="000000"/>
        </w:rPr>
        <w:t xml:space="preserve">- Инженеры службы Охраны труда - 1 человек;</w:t>
      </w:r>
      <w:r>
        <w:rPr>
          <w:rFonts w:ascii="Segoe UI" w:hAnsi="Segoe UI" w:cs="Segoe UI"/>
          <w:color w:val="212121"/>
          <w:sz w:val="23"/>
          <w:szCs w:val="23"/>
        </w:rPr>
      </w:r>
      <w:r>
        <w:rPr>
          <w:rFonts w:ascii="Segoe UI" w:hAnsi="Segoe UI" w:cs="Segoe UI"/>
          <w:color w:val="212121"/>
          <w:sz w:val="23"/>
          <w:szCs w:val="23"/>
        </w:rPr>
      </w:r>
    </w:p>
    <w:p>
      <w:pPr>
        <w:pStyle w:val="966"/>
        <w:jc w:val="both"/>
        <w:rPr>
          <w:rFonts w:ascii="Segoe UI" w:hAnsi="Segoe UI" w:cs="Segoe UI"/>
          <w:color w:val="212121"/>
          <w:sz w:val="23"/>
          <w:szCs w:val="23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 xml:space="preserve">    - Специалист сварочного производства 1 уровня (аттестованный сварщик) - 1 человек (подтверждается копиями удостоверений);</w:t>
      </w:r>
      <w:r>
        <w:rPr>
          <w:rFonts w:ascii="Segoe UI" w:hAnsi="Segoe UI" w:cs="Segoe UI"/>
          <w:color w:val="212121"/>
          <w:sz w:val="23"/>
          <w:szCs w:val="23"/>
        </w:rPr>
      </w:r>
      <w:r>
        <w:rPr>
          <w:rFonts w:ascii="Segoe UI" w:hAnsi="Segoe UI" w:cs="Segoe UI"/>
          <w:color w:val="212121"/>
          <w:sz w:val="23"/>
          <w:szCs w:val="23"/>
        </w:rPr>
      </w:r>
    </w:p>
    <w:p>
      <w:pPr>
        <w:pStyle w:val="965"/>
        <w:jc w:val="both"/>
        <w:rPr>
          <w:rFonts w:ascii="Segoe UI" w:hAnsi="Segoe UI" w:cs="Segoe UI"/>
          <w:color w:val="212121"/>
          <w:sz w:val="23"/>
          <w:szCs w:val="23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 xml:space="preserve">    - Слесарь - 2 человека;</w:t>
      </w:r>
      <w:r>
        <w:rPr>
          <w:rFonts w:ascii="Segoe UI" w:hAnsi="Segoe UI" w:cs="Segoe UI"/>
          <w:color w:val="212121"/>
          <w:sz w:val="23"/>
          <w:szCs w:val="23"/>
        </w:rPr>
      </w:r>
      <w:r>
        <w:rPr>
          <w:rFonts w:ascii="Segoe UI" w:hAnsi="Segoe UI" w:cs="Segoe UI"/>
          <w:color w:val="212121"/>
          <w:sz w:val="23"/>
          <w:szCs w:val="23"/>
        </w:rPr>
      </w:r>
    </w:p>
    <w:p>
      <w:pPr>
        <w:pStyle w:val="900"/>
        <w:jc w:val="both"/>
        <w:rPr>
          <w:rFonts w:ascii="Segoe UI" w:hAnsi="Segoe UI" w:cs="Segoe UI"/>
          <w:color w:val="212121"/>
          <w:sz w:val="23"/>
          <w:szCs w:val="23"/>
        </w:rPr>
      </w:pPr>
      <w:r>
        <w:rPr>
          <w:color w:val="212121"/>
        </w:rPr>
        <w:t xml:space="preserve">    - Стропальщик - 1 человек.</w:t>
      </w:r>
      <w:r>
        <w:rPr>
          <w:rFonts w:ascii="Segoe UI" w:hAnsi="Segoe UI" w:cs="Segoe UI"/>
          <w:color w:val="212121"/>
          <w:sz w:val="23"/>
          <w:szCs w:val="23"/>
        </w:rPr>
      </w:r>
      <w:r>
        <w:rPr>
          <w:rFonts w:ascii="Segoe UI" w:hAnsi="Segoe UI" w:cs="Segoe UI"/>
          <w:color w:val="212121"/>
          <w:sz w:val="23"/>
          <w:szCs w:val="23"/>
        </w:rPr>
      </w:r>
    </w:p>
    <w:p>
      <w:pPr>
        <w:pStyle w:val="900"/>
        <w:jc w:val="both"/>
        <w:tabs>
          <w:tab w:val="left" w:pos="546" w:leader="none"/>
        </w:tabs>
        <w:rPr>
          <w:b/>
        </w:rPr>
        <w:outlineLvl w:val="4"/>
      </w:pPr>
      <w:r>
        <w:rPr>
          <w:b/>
        </w:rPr>
        <w:t xml:space="preserve">5.2.</w:t>
        <w:tab/>
        <w:t xml:space="preserve">Требования о наличии материально-технических ресурсов</w:t>
      </w:r>
      <w:bookmarkEnd w:id="8"/>
      <w:r>
        <w:rPr>
          <w:b/>
        </w:rPr>
      </w:r>
      <w:r>
        <w:rPr>
          <w:b/>
        </w:rPr>
      </w:r>
    </w:p>
    <w:p>
      <w:pPr>
        <w:pStyle w:val="900"/>
        <w:ind w:firstLine="360"/>
        <w:jc w:val="both"/>
      </w:pPr>
      <w:r>
        <w:t xml:space="preserve">Участник закупки предостав</w:t>
      </w:r>
      <w:r>
        <w:t xml:space="preserve">ляет</w:t>
      </w:r>
      <w:r>
        <w:t xml:space="preserve"> в составе своей заявки документы (справку о наличии материальных ресурсов, иные документы), подтверждающие:</w:t>
      </w:r>
      <w:r/>
    </w:p>
    <w:p>
      <w:pPr>
        <w:pStyle w:val="900"/>
        <w:jc w:val="both"/>
        <w:tabs>
          <w:tab w:val="left" w:pos="762" w:leader="none"/>
        </w:tabs>
      </w:pPr>
      <w:r>
        <w:t xml:space="preserve">5.2.1.</w:t>
        <w:tab/>
        <w:t xml:space="preserve">Наличие </w:t>
      </w:r>
      <w:r>
        <w:t xml:space="preserve">соответствующих собственных материально-технических ресурсов (машин, механизмов, оборудования, спецтехники и т.д.) либо предоставить данные о наличии соответствующих материально-технических ресурсов у субподрядных организаций, включая, но не ограничиваясь:</w:t>
      </w:r>
      <w:r/>
    </w:p>
    <w:p>
      <w:pPr>
        <w:pStyle w:val="900"/>
        <w:ind w:left="567" w:firstLine="142"/>
        <w:jc w:val="both"/>
        <w:tabs>
          <w:tab w:val="left" w:pos="762" w:leader="none"/>
        </w:tabs>
      </w:pPr>
      <w:r>
        <w:t xml:space="preserve">-</w:t>
      </w:r>
      <w:r>
        <w:t xml:space="preserve"> </w:t>
      </w:r>
      <w:r>
        <w:t xml:space="preserve">Сварочные аппараты - 1 шт.;</w:t>
      </w:r>
      <w:r/>
    </w:p>
    <w:p>
      <w:pPr>
        <w:pStyle w:val="900"/>
        <w:ind w:left="567" w:firstLine="142"/>
        <w:jc w:val="both"/>
        <w:tabs>
          <w:tab w:val="left" w:pos="762" w:leader="none"/>
        </w:tabs>
      </w:pPr>
      <w:r>
        <w:t xml:space="preserve">-</w:t>
      </w:r>
      <w:r>
        <w:t xml:space="preserve"> </w:t>
      </w:r>
      <w:r>
        <w:t xml:space="preserve">Слесарный инструмент - 1 комплект;</w:t>
      </w:r>
      <w:r/>
    </w:p>
    <w:p>
      <w:pPr>
        <w:pStyle w:val="900"/>
        <w:ind w:left="567" w:firstLine="142"/>
        <w:jc w:val="both"/>
        <w:tabs>
          <w:tab w:val="left" w:pos="762" w:leader="none"/>
        </w:tabs>
      </w:pPr>
      <w:r>
        <w:t xml:space="preserve">-</w:t>
      </w:r>
      <w:r>
        <w:t xml:space="preserve"> </w:t>
      </w:r>
      <w:r>
        <w:t xml:space="preserve">Средства малой механизации (перфораторы, дрели, шлифовальные машин</w:t>
      </w:r>
      <w:r>
        <w:t xml:space="preserve">ки </w:t>
      </w:r>
      <w:r>
        <w:t xml:space="preserve">и т.д.) - 1 комплект;</w:t>
      </w:r>
      <w:r/>
    </w:p>
    <w:p>
      <w:pPr>
        <w:pStyle w:val="900"/>
        <w:ind w:left="567" w:firstLine="142"/>
        <w:jc w:val="both"/>
        <w:tabs>
          <w:tab w:val="left" w:pos="762" w:leader="none"/>
        </w:tabs>
      </w:pPr>
      <w:r>
        <w:t xml:space="preserve">-</w:t>
      </w:r>
      <w:r>
        <w:t xml:space="preserve"> </w:t>
      </w:r>
      <w:r>
        <w:t xml:space="preserve">Тали ручные г/п 3-10 т. - 2шт.;</w:t>
      </w:r>
      <w:r/>
    </w:p>
    <w:p>
      <w:pPr>
        <w:pStyle w:val="900"/>
        <w:ind w:left="567" w:firstLine="142"/>
        <w:jc w:val="both"/>
        <w:tabs>
          <w:tab w:val="left" w:pos="748" w:leader="none"/>
        </w:tabs>
      </w:pPr>
      <w:r>
        <w:t xml:space="preserve">- Транспорт для перевозки грузов - 1 шт.</w:t>
      </w:r>
      <w:r/>
    </w:p>
    <w:p>
      <w:pPr>
        <w:pStyle w:val="900"/>
        <w:jc w:val="both"/>
        <w:tabs>
          <w:tab w:val="left" w:pos="748" w:leader="none"/>
        </w:tabs>
      </w:pPr>
      <w:r>
        <w:t xml:space="preserve">5.2.2.   Наличие измерительных приборов и инструмента:</w:t>
      </w:r>
      <w:r/>
    </w:p>
    <w:p>
      <w:pPr>
        <w:jc w:val="left"/>
        <w:tabs>
          <w:tab w:val="left" w:pos="748" w:leader="none"/>
        </w:tabs>
      </w:pPr>
      <w:r>
        <w:t xml:space="preserve">         </w:t>
      </w:r>
      <w:r>
        <w:rPr>
          <w:rFonts w:ascii="Times New Roman" w:hAnsi="Times New Roman" w:eastAsia="Times New Roman" w:cs="Times New Roman"/>
          <w:color w:val="212121"/>
          <w:sz w:val="24"/>
        </w:rPr>
        <w:t xml:space="preserve">- Нивелир - 1 шт.;</w:t>
        <w:br/>
      </w:r>
      <w:r>
        <w:rPr>
          <w:rFonts w:ascii="Times New Roman" w:hAnsi="Times New Roman" w:eastAsia="Times New Roman" w:cs="Times New Roman"/>
          <w:color w:val="212121"/>
          <w:sz w:val="24"/>
        </w:rPr>
        <w:t xml:space="preserve">         - Нивелирная рейка - 1 шт.;</w:t>
      </w:r>
      <w:r/>
    </w:p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12121"/>
          <w:sz w:val="24"/>
        </w:rPr>
        <w:t xml:space="preserve">         - Шаблон сварщика универсальный - 1 шт.;</w:t>
      </w:r>
      <w:r/>
    </w:p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12121"/>
          <w:sz w:val="24"/>
        </w:rPr>
        <w:t xml:space="preserve">         - Штангенциркуль ШЦ-150 - 1 шт.;</w:t>
      </w:r>
      <w:r/>
    </w:p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12121"/>
          <w:sz w:val="24"/>
        </w:rPr>
        <w:t xml:space="preserve">         - Рулетка (не менее 30 м.) - 1 шт.;</w:t>
      </w:r>
      <w:r/>
    </w:p>
    <w:p>
      <w:pPr>
        <w:ind w:left="0" w:right="0" w:firstLine="0"/>
        <w:jc w:val="both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12121"/>
          <w:sz w:val="24"/>
        </w:rPr>
        <w:t xml:space="preserve">         - Лазерный дальномер - 1 шт.</w:t>
      </w:r>
      <w:r/>
    </w:p>
    <w:p>
      <w:pPr>
        <w:ind w:left="567" w:right="0" w:firstLine="142"/>
        <w:spacing w:before="0" w:after="0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212121"/>
          <w:sz w:val="23"/>
        </w:rPr>
        <w:t xml:space="preserve"> </w:t>
      </w:r>
      <w:r/>
    </w:p>
    <w:p>
      <w:pPr>
        <w:pStyle w:val="900"/>
        <w:jc w:val="both"/>
        <w:tabs>
          <w:tab w:val="left" w:pos="545" w:leader="none"/>
        </w:tabs>
        <w:rPr>
          <w:b/>
        </w:rPr>
        <w:outlineLvl w:val="4"/>
      </w:pPr>
      <w:r/>
      <w:bookmarkStart w:id="9" w:name="bookmark174"/>
      <w:r>
        <w:rPr>
          <w:b/>
        </w:rPr>
        <w:t xml:space="preserve">5.3.</w:t>
        <w:tab/>
        <w:t xml:space="preserve">Требования о наличии аттестованных технологий сварки</w:t>
      </w:r>
      <w:bookmarkEnd w:id="9"/>
      <w:r>
        <w:rPr>
          <w:b/>
        </w:rPr>
      </w:r>
      <w:r>
        <w:rPr>
          <w:b/>
        </w:rPr>
      </w:r>
    </w:p>
    <w:p>
      <w:pPr>
        <w:pStyle w:val="900"/>
        <w:ind w:firstLine="360"/>
        <w:jc w:val="both"/>
      </w:pPr>
      <w:r>
        <w:t xml:space="preserve">Участник закупки должен предоставить в составе своей заявки копию Свидетельства НАКС о готовности организации-заявителя к использованию аттестованной технологии сварки (наплавки) в соответствии с требованиями РД 03-615-03 включающей Виды сварки:</w:t>
      </w:r>
      <w:r/>
    </w:p>
    <w:p>
      <w:pPr>
        <w:pStyle w:val="900"/>
        <w:jc w:val="both"/>
        <w:tabs>
          <w:tab w:val="left" w:pos="748" w:leader="none"/>
        </w:tabs>
      </w:pPr>
      <w:r>
        <w:t xml:space="preserve">-</w:t>
      </w:r>
      <w:r>
        <w:t xml:space="preserve"> </w:t>
      </w:r>
      <w:r>
        <w:t xml:space="preserve">РД - Ручная дуговая сварка покрытыми электродами;</w:t>
      </w:r>
      <w:r/>
    </w:p>
    <w:p>
      <w:pPr>
        <w:pStyle w:val="900"/>
        <w:ind w:left="360" w:hanging="360"/>
        <w:jc w:val="both"/>
      </w:pPr>
      <w:r>
        <w:t xml:space="preserve">На следующих группах технических устройств опасных производственных объектов: Подъемные сооружения (ПС).</w:t>
      </w:r>
      <w:r/>
    </w:p>
    <w:p>
      <w:pPr>
        <w:pStyle w:val="900"/>
        <w:jc w:val="both"/>
        <w:tabs>
          <w:tab w:val="left" w:pos="545" w:leader="none"/>
        </w:tabs>
        <w:rPr>
          <w:b/>
        </w:rPr>
        <w:outlineLvl w:val="4"/>
      </w:pPr>
      <w:r/>
      <w:bookmarkStart w:id="10" w:name="bookmark175"/>
      <w:r>
        <w:rPr>
          <w:b/>
        </w:rPr>
        <w:t xml:space="preserve">5.4.</w:t>
        <w:tab/>
        <w:t xml:space="preserve">Требования к измерительным приборам и инструментам</w:t>
      </w:r>
      <w:bookmarkEnd w:id="10"/>
      <w:r>
        <w:rPr>
          <w:b/>
        </w:rPr>
      </w:r>
      <w:r>
        <w:rPr>
          <w:b/>
        </w:rPr>
      </w:r>
    </w:p>
    <w:p>
      <w:pPr>
        <w:pStyle w:val="900"/>
        <w:ind w:firstLine="360"/>
        <w:jc w:val="both"/>
      </w:pPr>
      <w:r>
        <w:t xml:space="preserve">Не устанавливаются.</w:t>
      </w:r>
      <w:r/>
    </w:p>
    <w:p>
      <w:pPr>
        <w:pStyle w:val="900"/>
        <w:jc w:val="both"/>
        <w:tabs>
          <w:tab w:val="left" w:pos="545" w:leader="none"/>
        </w:tabs>
        <w:rPr>
          <w:b/>
        </w:rPr>
        <w:outlineLvl w:val="4"/>
      </w:pPr>
      <w:r/>
      <w:bookmarkStart w:id="11" w:name="bookmark176"/>
      <w:r>
        <w:rPr>
          <w:b/>
        </w:rPr>
        <w:t xml:space="preserve">5.5.</w:t>
        <w:tab/>
        <w:t xml:space="preserve">Требования о наличии действующих разрешений, аттестаций, лицензий</w:t>
      </w:r>
      <w:bookmarkEnd w:id="11"/>
      <w:r>
        <w:rPr>
          <w:b/>
        </w:rPr>
      </w:r>
      <w:r>
        <w:rPr>
          <w:b/>
        </w:rPr>
      </w:r>
    </w:p>
    <w:p>
      <w:pPr>
        <w:pStyle w:val="900"/>
        <w:jc w:val="both"/>
      </w:pPr>
      <w:r>
        <w:t xml:space="preserve">      Не устанавливаются.</w:t>
      </w:r>
      <w:r/>
    </w:p>
    <w:p>
      <w:pPr>
        <w:pStyle w:val="900"/>
        <w:jc w:val="both"/>
        <w:tabs>
          <w:tab w:val="left" w:pos="549" w:leader="none"/>
        </w:tabs>
        <w:rPr>
          <w:b/>
        </w:rPr>
        <w:outlineLvl w:val="4"/>
      </w:pPr>
      <w:r/>
      <w:bookmarkStart w:id="12" w:name="bookmark177"/>
      <w:r>
        <w:rPr>
          <w:b/>
        </w:rPr>
        <w:t xml:space="preserve">5.6.</w:t>
        <w:tab/>
        <w:t xml:space="preserve">Требования о наличии сертифицированных систем менеджмента</w:t>
      </w:r>
      <w:bookmarkEnd w:id="12"/>
      <w:r>
        <w:rPr>
          <w:b/>
        </w:rPr>
      </w:r>
      <w:r>
        <w:rPr>
          <w:b/>
        </w:rPr>
      </w:r>
    </w:p>
    <w:p>
      <w:pPr>
        <w:pStyle w:val="900"/>
        <w:ind w:firstLine="426"/>
        <w:jc w:val="both"/>
        <w:rPr>
          <w:rFonts w:ascii="Segoe UI" w:hAnsi="Segoe UI" w:cs="Segoe UI"/>
          <w:color w:val="212121"/>
          <w:sz w:val="23"/>
          <w:szCs w:val="23"/>
        </w:rPr>
      </w:pPr>
      <w:r/>
      <w:bookmarkStart w:id="13" w:name="bookmark178"/>
      <w:r>
        <w:rPr>
          <w:color w:val="000000"/>
        </w:rPr>
        <w:t xml:space="preserve"> Участнику закупки в составе своего предложения предоставляет ко</w:t>
      </w:r>
      <w:r>
        <w:rPr>
          <w:color w:val="000000"/>
        </w:rPr>
        <w:t xml:space="preserve">пии действующих сертификатов, подтверждающих на предприятии Участника закупки наличие организованных систем контроля качества соблюдения технологических процессов: сертифицированная система менеджмента качества по стандарту ГОСТ Р ИСО 9001 (ISO 9001), серт</w:t>
      </w:r>
      <w:r>
        <w:rPr>
          <w:color w:val="000000"/>
        </w:rPr>
        <w:t xml:space="preserve">ифицированная система экологического менеджмента ГОСТ Р ИСО 14001 (ISO 14001), сертифицированная система безопасности труда и охраны здоровья ГОСТ Р ИСО 45001 (ISO 45001), сертифицированная система энергетического менеджмента ГОСТ Р ИСО 50001 (ISO 50001). </w:t>
      </w:r>
      <w:r>
        <w:rPr>
          <w:rFonts w:ascii="Segoe UI" w:hAnsi="Segoe UI" w:cs="Segoe UI"/>
          <w:color w:val="212121"/>
          <w:sz w:val="23"/>
          <w:szCs w:val="23"/>
        </w:rPr>
      </w:r>
      <w:r>
        <w:rPr>
          <w:rFonts w:ascii="Segoe UI" w:hAnsi="Segoe UI" w:cs="Segoe UI"/>
          <w:color w:val="212121"/>
          <w:sz w:val="23"/>
          <w:szCs w:val="23"/>
        </w:rPr>
      </w:r>
    </w:p>
    <w:p>
      <w:pPr>
        <w:pStyle w:val="900"/>
        <w:jc w:val="both"/>
        <w:tabs>
          <w:tab w:val="left" w:pos="520" w:leader="none"/>
        </w:tabs>
        <w:rPr>
          <w:b/>
        </w:rPr>
        <w:outlineLvl w:val="4"/>
      </w:pPr>
      <w:r>
        <w:rPr>
          <w:b/>
        </w:rPr>
        <w:t xml:space="preserve">5.7.</w:t>
        <w:tab/>
        <w:t xml:space="preserve">Требования о наличии аккредитации в Группе «Интер РАО»</w:t>
      </w:r>
      <w:bookmarkEnd w:id="13"/>
      <w:r>
        <w:rPr>
          <w:b/>
        </w:rPr>
      </w:r>
      <w:r>
        <w:rPr>
          <w:b/>
        </w:rPr>
      </w:r>
    </w:p>
    <w:p>
      <w:pPr>
        <w:pStyle w:val="900"/>
        <w:ind w:firstLine="360"/>
        <w:jc w:val="both"/>
      </w:pPr>
      <w:r>
        <w:t xml:space="preserve">Не требуется.</w:t>
      </w:r>
      <w:r/>
    </w:p>
    <w:p>
      <w:pPr>
        <w:pStyle w:val="900"/>
        <w:jc w:val="both"/>
        <w:tabs>
          <w:tab w:val="left" w:pos="525" w:leader="none"/>
        </w:tabs>
        <w:rPr>
          <w:b/>
        </w:rPr>
        <w:outlineLvl w:val="4"/>
      </w:pPr>
      <w:r>
        <w:rPr>
          <w:b/>
        </w:rPr>
        <w:t xml:space="preserve">5.8.</w:t>
        <w:tab/>
        <w:t xml:space="preserve">Требования к опыту выполнения аналогичных работ</w:t>
      </w:r>
      <w:r>
        <w:rPr>
          <w:b/>
        </w:rPr>
      </w:r>
      <w:r>
        <w:rPr>
          <w:b/>
        </w:rPr>
      </w:r>
    </w:p>
    <w:p>
      <w:pPr>
        <w:pStyle w:val="900"/>
        <w:ind w:firstLine="284"/>
        <w:jc w:val="both"/>
        <w:rPr>
          <w:rFonts w:ascii="Segoe UI" w:hAnsi="Segoe UI" w:cs="Segoe UI"/>
          <w:color w:val="212121"/>
          <w:sz w:val="23"/>
          <w:szCs w:val="23"/>
        </w:rPr>
      </w:pPr>
      <w:r>
        <w:rPr>
          <w:color w:val="000000"/>
        </w:rPr>
        <w:t xml:space="preserve">Участник закупки предоставляет в составе своего предложения справку о перечне и объемах выполнения аналогичных договоров по форме, указанной в закупочной документации, подтверждающую наличие у него опыта выполнения работ по р</w:t>
      </w:r>
      <w:r>
        <w:rPr>
          <w:color w:val="212121"/>
        </w:rPr>
        <w:t xml:space="preserve">емонту и техническому обслуживанию ГПМ </w:t>
      </w:r>
      <w:r>
        <w:rPr>
          <w:color w:val="000000"/>
        </w:rPr>
        <w:t xml:space="preserve">в количестве не менее 3 (трех) исполненных договоров за последние 5 лет, предшествующих дате подачи заявки на участие в данной закупке.</w:t>
      </w:r>
      <w:r>
        <w:rPr>
          <w:rFonts w:ascii="Segoe UI" w:hAnsi="Segoe UI" w:cs="Segoe UI"/>
          <w:color w:val="212121"/>
          <w:sz w:val="23"/>
          <w:szCs w:val="23"/>
        </w:rPr>
      </w:r>
      <w:r>
        <w:rPr>
          <w:rFonts w:ascii="Segoe UI" w:hAnsi="Segoe UI" w:cs="Segoe UI"/>
          <w:color w:val="212121"/>
          <w:sz w:val="23"/>
          <w:szCs w:val="23"/>
        </w:rPr>
      </w:r>
    </w:p>
    <w:p>
      <w:pPr>
        <w:pStyle w:val="900"/>
        <w:jc w:val="both"/>
        <w:rPr>
          <w:b/>
        </w:rPr>
      </w:pPr>
      <w:r>
        <w:rPr>
          <w:b/>
        </w:rPr>
        <w:t xml:space="preserve">5.</w:t>
      </w:r>
      <w:r>
        <w:rPr>
          <w:b/>
        </w:rPr>
        <w:t xml:space="preserve">9</w:t>
      </w:r>
      <w:r>
        <w:rPr>
          <w:b/>
        </w:rPr>
        <w:t xml:space="preserve">.</w:t>
      </w:r>
      <w:r>
        <w:rPr>
          <w:b/>
        </w:rPr>
        <w:t xml:space="preserve"> </w:t>
      </w:r>
      <w:r>
        <w:rPr>
          <w:b/>
        </w:rPr>
        <w:t xml:space="preserve"> </w:t>
      </w:r>
      <w:r>
        <w:rPr>
          <w:b/>
        </w:rPr>
        <w:t xml:space="preserve">Требования к субподрядным организациям</w:t>
      </w:r>
      <w:r>
        <w:rPr>
          <w:b/>
        </w:rPr>
      </w:r>
      <w:r>
        <w:rPr>
          <w:b/>
        </w:rPr>
      </w:r>
    </w:p>
    <w:p>
      <w:pPr>
        <w:pStyle w:val="900"/>
        <w:jc w:val="both"/>
        <w:rPr>
          <w:rFonts w:ascii="Segoe UI" w:hAnsi="Segoe UI" w:cs="Segoe UI"/>
          <w:color w:val="212121"/>
          <w:sz w:val="23"/>
          <w:szCs w:val="23"/>
        </w:rPr>
      </w:pPr>
      <w:r>
        <w:rPr>
          <w:color w:val="000000"/>
        </w:rPr>
        <w:t xml:space="preserve">     Требования, указанные в пунктах 5.1÷5.4, 5.8. применимы к привлекаемым Участниками закупки Субподрядчикам, в объеме поручаемых им работ согласно «Плану распределения работ между генерал</w:t>
      </w:r>
      <w:r>
        <w:rPr>
          <w:color w:val="000000"/>
        </w:rPr>
        <w:t xml:space="preserve">ьным подрядчиком и субподрядными организациями». Документы, подтверждающие соответствие Субподрядчиков требованиям п. 5.1÷5.4, 5.8. данного Технического задания, а также требованиям Закупочной документации, должны представляться в составе заявки Участника.</w:t>
      </w:r>
      <w:r>
        <w:rPr>
          <w:rFonts w:ascii="Segoe UI" w:hAnsi="Segoe UI" w:cs="Segoe UI"/>
          <w:color w:val="212121"/>
          <w:sz w:val="23"/>
          <w:szCs w:val="23"/>
        </w:rPr>
      </w:r>
      <w:r>
        <w:rPr>
          <w:rFonts w:ascii="Segoe UI" w:hAnsi="Segoe UI" w:cs="Segoe UI"/>
          <w:color w:val="212121"/>
          <w:sz w:val="23"/>
          <w:szCs w:val="23"/>
        </w:rPr>
      </w:r>
    </w:p>
    <w:p>
      <w:pPr>
        <w:pStyle w:val="900"/>
        <w:jc w:val="both"/>
        <w:tabs>
          <w:tab w:val="left" w:pos="640" w:leader="none"/>
        </w:tabs>
        <w:outlineLvl w:val="4"/>
      </w:pPr>
      <w:r/>
      <w:r/>
    </w:p>
    <w:p>
      <w:pPr>
        <w:pStyle w:val="900"/>
        <w:jc w:val="both"/>
        <w:tabs>
          <w:tab w:val="left" w:pos="347" w:leader="none"/>
        </w:tabs>
        <w:rPr>
          <w:b/>
        </w:rPr>
        <w:outlineLvl w:val="4"/>
      </w:pPr>
      <w:r>
        <w:rPr>
          <w:b/>
        </w:rPr>
        <w:t xml:space="preserve">6.</w:t>
        <w:tab/>
        <w:t xml:space="preserve">Приложение к ТЗ.</w:t>
      </w:r>
      <w:r>
        <w:rPr>
          <w:b/>
        </w:rPr>
      </w:r>
      <w:r>
        <w:rPr>
          <w:b/>
        </w:rPr>
      </w:r>
    </w:p>
    <w:p>
      <w:pPr>
        <w:pStyle w:val="900"/>
        <w:ind w:firstLine="360"/>
        <w:rPr>
          <w:color w:val="000000"/>
        </w:rPr>
      </w:pPr>
      <w:r>
        <w:rPr>
          <w:color w:val="000000"/>
        </w:rPr>
        <w:t xml:space="preserve">1. Ведомости объемов, сметная документация.</w:t>
      </w:r>
      <w:r>
        <w:rPr>
          <w:color w:val="000000"/>
        </w:rPr>
      </w:r>
      <w:r>
        <w:rPr>
          <w:color w:val="000000"/>
        </w:rPr>
      </w:r>
    </w:p>
    <w:p>
      <w:pPr>
        <w:pStyle w:val="900"/>
        <w:ind w:firstLine="360"/>
        <w:rPr>
          <w:color w:val="000000"/>
        </w:rPr>
      </w:pPr>
      <w:r>
        <w:rPr>
          <w:color w:val="000000"/>
        </w:rPr>
        <w:t xml:space="preserve">2. Рекомендации для формирования стоимости работ по техническому обслуживанию и ремонту энергетического оборудования. </w:t>
      </w:r>
      <w:r>
        <w:rPr>
          <w:color w:val="000000"/>
        </w:rPr>
      </w:r>
      <w:r>
        <w:rPr>
          <w:color w:val="000000"/>
        </w:rPr>
      </w:r>
    </w:p>
    <w:p>
      <w:pPr>
        <w:pStyle w:val="900"/>
        <w:ind w:firstLine="360"/>
        <w:jc w:val="both"/>
        <w:tabs>
          <w:tab w:val="left" w:pos="1054" w:leader="none"/>
        </w:tabs>
      </w:pPr>
      <w:r/>
      <w:r/>
    </w:p>
    <w:p>
      <w:pPr>
        <w:pStyle w:val="900"/>
        <w:ind w:left="360" w:hanging="360"/>
      </w:pPr>
      <w:r/>
      <w:r/>
    </w:p>
    <w:p>
      <w:pPr>
        <w:pStyle w:val="900"/>
        <w:ind w:left="360" w:hanging="360"/>
      </w:pPr>
      <w:r/>
      <w:r/>
    </w:p>
    <w:p>
      <w:pPr>
        <w:pStyle w:val="900"/>
        <w:ind w:left="360" w:hanging="360"/>
      </w:pPr>
      <w:r/>
      <w:r/>
    </w:p>
    <w:p>
      <w:pPr>
        <w:pStyle w:val="900"/>
      </w:pPr>
      <w:r/>
      <w:r/>
    </w:p>
    <w:p>
      <w:pPr>
        <w:pStyle w:val="900"/>
        <w:ind w:firstLine="708"/>
        <w:jc w:val="both"/>
      </w:pPr>
      <w:r/>
      <w:r/>
    </w:p>
    <w:p>
      <w:pPr>
        <w:pStyle w:val="900"/>
        <w:ind w:firstLine="708"/>
        <w:jc w:val="both"/>
      </w:pPr>
      <w:r/>
      <w:r/>
    </w:p>
    <w:p>
      <w:pPr>
        <w:pStyle w:val="900"/>
        <w:ind w:firstLine="708"/>
        <w:jc w:val="both"/>
      </w:pPr>
      <w:r/>
      <w:r/>
    </w:p>
    <w:p>
      <w:pPr>
        <w:pStyle w:val="900"/>
        <w:ind w:firstLine="708"/>
        <w:jc w:val="both"/>
      </w:pPr>
      <w:r/>
      <w:r/>
    </w:p>
    <w:p>
      <w:pPr>
        <w:pStyle w:val="900"/>
        <w:ind w:firstLine="708"/>
        <w:jc w:val="both"/>
      </w:pPr>
      <w:r/>
      <w:r/>
    </w:p>
    <w:p>
      <w:pPr>
        <w:pStyle w:val="900"/>
        <w:ind w:firstLine="708"/>
        <w:jc w:val="both"/>
      </w:pPr>
      <w:r/>
      <w:r/>
    </w:p>
    <w:sectPr>
      <w:footerReference w:type="even" r:id="rId9"/>
      <w:footnotePr/>
      <w:endnotePr/>
      <w:type w:val="nextPage"/>
      <w:pgSz w:w="11906" w:h="16838" w:orient="portrait"/>
      <w:pgMar w:top="567" w:right="567" w:bottom="85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Symbol">
    <w:panose1 w:val="05010000000000000000"/>
  </w:font>
  <w:font w:name="Liberation Sans">
    <w:panose1 w:val="020B0604020202020204"/>
  </w:font>
  <w:font w:name="Wingdings">
    <w:panose1 w:val="05010000000000000000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Courier New">
    <w:panose1 w:val="020704090202050204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rPr>
        <w:rStyle w:val="916"/>
      </w:rPr>
      <w:framePr w:vAnchor="text" w:hAnchor="margin" w:xAlign="center" w:y="1"/>
    </w:pPr>
    <w:r>
      <w:rPr>
        <w:rStyle w:val="916"/>
      </w:rPr>
      <w:fldChar w:fldCharType="begin"/>
    </w:r>
    <w:r>
      <w:rPr>
        <w:rStyle w:val="916"/>
      </w:rPr>
      <w:instrText xml:space="preserve">PAGE  </w:instrText>
    </w:r>
    <w:r>
      <w:rPr>
        <w:rStyle w:val="916"/>
      </w:rPr>
      <w:fldChar w:fldCharType="end"/>
    </w:r>
    <w:r>
      <w:rPr>
        <w:rStyle w:val="916"/>
      </w:rPr>
    </w:r>
    <w:r>
      <w:rPr>
        <w:rStyle w:val="916"/>
      </w:rPr>
    </w:r>
  </w:p>
  <w:p>
    <w:pPr>
      <w:pStyle w:val="91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  <w:rPr>
        <w:rFonts w:cs="Times New Roman"/>
        <w:sz w:val="28"/>
        <w:szCs w:val="28"/>
      </w:rPr>
    </w:lvl>
    <w:lvl w:ilvl="1">
      <w:start w:val="1"/>
      <w:numFmt w:val="decimal"/>
      <w:pStyle w:val="902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rFonts w:cs="Times New Roman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  <w:tabs>
          <w:tab w:val="num" w:pos="144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572" w:hanging="360"/>
      </w:pPr>
    </w:lvl>
    <w:lvl w:ilvl="1">
      <w:start w:val="3"/>
      <w:numFmt w:val="decimal"/>
      <w:isLgl w:val="false"/>
      <w:suff w:val="tab"/>
      <w:lvlText w:val="%1.%2"/>
      <w:lvlJc w:val="left"/>
      <w:pPr>
        <w:ind w:left="1572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932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932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292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292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65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652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012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12" w:hanging="180"/>
      </w:pPr>
    </w:lvl>
  </w:abstractNum>
  <w:abstractNum w:abstractNumId="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1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33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5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7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9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1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3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5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7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4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5"/>
      <w:numFmt w:val="decimal"/>
      <w:isLgl w:val="false"/>
      <w:suff w:val="tab"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</w:pPr>
      <w:rPr>
        <w:b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720"/>
      </w:pPr>
      <w:rPr>
        <w:b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</w:pPr>
      <w:rPr>
        <w:b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080"/>
      </w:pPr>
      <w:rPr>
        <w:b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</w:pPr>
      <w:rPr>
        <w:b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440"/>
      </w:pPr>
      <w:rPr>
        <w:b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1800"/>
      </w:pPr>
      <w:rPr>
        <w:b/>
      </w:rPr>
    </w:lvl>
  </w:abstractNum>
  <w:abstractNum w:abstractNumId="16">
    <w:multiLevelType w:val="hybridMultilevel"/>
    <w:lvl w:ilvl="0">
      <w:start w:val="1"/>
      <w:numFmt w:val="thaiNumbers"/>
      <w:isLgl w:val="false"/>
      <w:suff w:val="tab"/>
      <w:lvlText w:val="%1) 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1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33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5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7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9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1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3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5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70" w:hanging="180"/>
      </w:pPr>
    </w:lvl>
  </w:abstractNum>
  <w:abstractNum w:abstractNumId="19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9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3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4">
    <w:abstractNumId w:val="14"/>
  </w:num>
  <w:num w:numId="5">
    <w:abstractNumId w:val="1"/>
  </w:num>
  <w:num w:numId="6">
    <w:abstractNumId w:val="15"/>
  </w:num>
  <w:num w:numId="7">
    <w:abstractNumId w:val="3"/>
  </w:num>
  <w:num w:numId="8">
    <w:abstractNumId w:val="19"/>
  </w:num>
  <w:num w:numId="9">
    <w:abstractNumId w:val="7"/>
  </w:num>
  <w:num w:numId="10">
    <w:abstractNumId w:val="11"/>
  </w:num>
  <w:num w:numId="11">
    <w:abstractNumId w:val="17"/>
  </w:num>
  <w:num w:numId="12">
    <w:abstractNumId w:val="4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13"/>
  </w:num>
  <w:num w:numId="18">
    <w:abstractNumId w:val="10"/>
  </w:num>
  <w:num w:numId="19">
    <w:abstractNumId w:val="20"/>
  </w:num>
  <w:num w:numId="20">
    <w:abstractNumId w:val="6"/>
  </w:num>
  <w:num w:numId="21">
    <w:abstractNumId w:val="18"/>
  </w:num>
  <w:num w:numId="22">
    <w:abstractNumId w:val="5"/>
  </w:num>
  <w:num w:numId="23">
    <w:abstractNumId w:val="16"/>
  </w:num>
  <w:num w:numId="24">
    <w:abstractNumId w:val="22"/>
  </w:num>
  <w:num w:numId="25">
    <w:abstractNumId w:val="23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4">
    <w:name w:val="Heading 1"/>
    <w:basedOn w:val="900"/>
    <w:next w:val="900"/>
    <w:link w:val="72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5">
    <w:name w:val="Heading 1 Char"/>
    <w:link w:val="724"/>
    <w:uiPriority w:val="9"/>
    <w:rPr>
      <w:rFonts w:ascii="Arial" w:hAnsi="Arial" w:eastAsia="Arial" w:cs="Arial"/>
      <w:sz w:val="40"/>
      <w:szCs w:val="40"/>
    </w:rPr>
  </w:style>
  <w:style w:type="paragraph" w:styleId="726">
    <w:name w:val="Heading 2"/>
    <w:basedOn w:val="900"/>
    <w:next w:val="900"/>
    <w:link w:val="72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7">
    <w:name w:val="Heading 2 Char"/>
    <w:link w:val="726"/>
    <w:uiPriority w:val="9"/>
    <w:rPr>
      <w:rFonts w:ascii="Arial" w:hAnsi="Arial" w:eastAsia="Arial" w:cs="Arial"/>
      <w:sz w:val="34"/>
    </w:rPr>
  </w:style>
  <w:style w:type="paragraph" w:styleId="728">
    <w:name w:val="Heading 3"/>
    <w:basedOn w:val="900"/>
    <w:next w:val="900"/>
    <w:link w:val="72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9">
    <w:name w:val="Heading 3 Char"/>
    <w:link w:val="728"/>
    <w:uiPriority w:val="9"/>
    <w:rPr>
      <w:rFonts w:ascii="Arial" w:hAnsi="Arial" w:eastAsia="Arial" w:cs="Arial"/>
      <w:sz w:val="30"/>
      <w:szCs w:val="30"/>
    </w:rPr>
  </w:style>
  <w:style w:type="paragraph" w:styleId="730">
    <w:name w:val="Heading 4"/>
    <w:basedOn w:val="900"/>
    <w:next w:val="900"/>
    <w:link w:val="7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1">
    <w:name w:val="Heading 4 Char"/>
    <w:link w:val="730"/>
    <w:uiPriority w:val="9"/>
    <w:rPr>
      <w:rFonts w:ascii="Arial" w:hAnsi="Arial" w:eastAsia="Arial" w:cs="Arial"/>
      <w:b/>
      <w:bCs/>
      <w:sz w:val="26"/>
      <w:szCs w:val="26"/>
    </w:rPr>
  </w:style>
  <w:style w:type="paragraph" w:styleId="732">
    <w:name w:val="Heading 5"/>
    <w:basedOn w:val="900"/>
    <w:next w:val="900"/>
    <w:link w:val="7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3">
    <w:name w:val="Heading 5 Char"/>
    <w:link w:val="732"/>
    <w:uiPriority w:val="9"/>
    <w:rPr>
      <w:rFonts w:ascii="Arial" w:hAnsi="Arial" w:eastAsia="Arial" w:cs="Arial"/>
      <w:b/>
      <w:bCs/>
      <w:sz w:val="24"/>
      <w:szCs w:val="24"/>
    </w:rPr>
  </w:style>
  <w:style w:type="paragraph" w:styleId="734">
    <w:name w:val="Heading 6"/>
    <w:basedOn w:val="900"/>
    <w:next w:val="900"/>
    <w:link w:val="7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5">
    <w:name w:val="Heading 6 Char"/>
    <w:link w:val="734"/>
    <w:uiPriority w:val="9"/>
    <w:rPr>
      <w:rFonts w:ascii="Arial" w:hAnsi="Arial" w:eastAsia="Arial" w:cs="Arial"/>
      <w:b/>
      <w:bCs/>
      <w:sz w:val="22"/>
      <w:szCs w:val="22"/>
    </w:rPr>
  </w:style>
  <w:style w:type="paragraph" w:styleId="736">
    <w:name w:val="Heading 7"/>
    <w:basedOn w:val="900"/>
    <w:next w:val="900"/>
    <w:link w:val="7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7">
    <w:name w:val="Heading 7 Char"/>
    <w:link w:val="7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8">
    <w:name w:val="Heading 8"/>
    <w:basedOn w:val="900"/>
    <w:next w:val="900"/>
    <w:link w:val="7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9">
    <w:name w:val="Heading 8 Char"/>
    <w:link w:val="738"/>
    <w:uiPriority w:val="9"/>
    <w:rPr>
      <w:rFonts w:ascii="Arial" w:hAnsi="Arial" w:eastAsia="Arial" w:cs="Arial"/>
      <w:i/>
      <w:iCs/>
      <w:sz w:val="22"/>
      <w:szCs w:val="22"/>
    </w:rPr>
  </w:style>
  <w:style w:type="paragraph" w:styleId="740">
    <w:name w:val="Heading 9"/>
    <w:basedOn w:val="900"/>
    <w:next w:val="900"/>
    <w:link w:val="7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1">
    <w:name w:val="Heading 9 Char"/>
    <w:link w:val="740"/>
    <w:uiPriority w:val="9"/>
    <w:rPr>
      <w:rFonts w:ascii="Arial" w:hAnsi="Arial" w:eastAsia="Arial" w:cs="Arial"/>
      <w:i/>
      <w:iCs/>
      <w:sz w:val="21"/>
      <w:szCs w:val="21"/>
    </w:rPr>
  </w:style>
  <w:style w:type="paragraph" w:styleId="742">
    <w:name w:val="Title"/>
    <w:basedOn w:val="900"/>
    <w:next w:val="900"/>
    <w:link w:val="74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3">
    <w:name w:val="Title Char"/>
    <w:link w:val="742"/>
    <w:uiPriority w:val="10"/>
    <w:rPr>
      <w:sz w:val="48"/>
      <w:szCs w:val="48"/>
    </w:rPr>
  </w:style>
  <w:style w:type="paragraph" w:styleId="744">
    <w:name w:val="Subtitle"/>
    <w:basedOn w:val="900"/>
    <w:next w:val="900"/>
    <w:link w:val="745"/>
    <w:uiPriority w:val="11"/>
    <w:qFormat/>
    <w:pPr>
      <w:spacing w:before="200" w:after="200"/>
    </w:pPr>
    <w:rPr>
      <w:sz w:val="24"/>
      <w:szCs w:val="24"/>
    </w:rPr>
  </w:style>
  <w:style w:type="character" w:styleId="745">
    <w:name w:val="Subtitle Char"/>
    <w:link w:val="744"/>
    <w:uiPriority w:val="11"/>
    <w:rPr>
      <w:sz w:val="24"/>
      <w:szCs w:val="24"/>
    </w:rPr>
  </w:style>
  <w:style w:type="paragraph" w:styleId="746">
    <w:name w:val="Quote"/>
    <w:basedOn w:val="900"/>
    <w:next w:val="900"/>
    <w:link w:val="747"/>
    <w:uiPriority w:val="29"/>
    <w:qFormat/>
    <w:pPr>
      <w:ind w:left="720" w:right="720"/>
    </w:pPr>
    <w:rPr>
      <w:i/>
    </w:rPr>
  </w:style>
  <w:style w:type="character" w:styleId="747">
    <w:name w:val="Quote Char"/>
    <w:link w:val="746"/>
    <w:uiPriority w:val="29"/>
    <w:rPr>
      <w:i/>
    </w:rPr>
  </w:style>
  <w:style w:type="paragraph" w:styleId="748">
    <w:name w:val="Intense Quote"/>
    <w:basedOn w:val="900"/>
    <w:next w:val="900"/>
    <w:link w:val="74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9">
    <w:name w:val="Intense Quote Char"/>
    <w:link w:val="748"/>
    <w:uiPriority w:val="30"/>
    <w:rPr>
      <w:i/>
    </w:rPr>
  </w:style>
  <w:style w:type="paragraph" w:styleId="750">
    <w:name w:val="Header"/>
    <w:basedOn w:val="900"/>
    <w:link w:val="75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1">
    <w:name w:val="Header Char"/>
    <w:link w:val="750"/>
    <w:uiPriority w:val="99"/>
  </w:style>
  <w:style w:type="paragraph" w:styleId="752">
    <w:name w:val="Footer"/>
    <w:basedOn w:val="900"/>
    <w:link w:val="75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3">
    <w:name w:val="Footer Char"/>
    <w:link w:val="752"/>
    <w:uiPriority w:val="99"/>
  </w:style>
  <w:style w:type="paragraph" w:styleId="754">
    <w:name w:val="Caption"/>
    <w:basedOn w:val="900"/>
    <w:next w:val="900"/>
    <w:link w:val="75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5">
    <w:name w:val="Caption Char"/>
    <w:basedOn w:val="754"/>
    <w:link w:val="752"/>
    <w:uiPriority w:val="99"/>
  </w:style>
  <w:style w:type="table" w:styleId="75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2">
    <w:name w:val="Hyperlink"/>
    <w:uiPriority w:val="99"/>
    <w:unhideWhenUsed/>
    <w:rPr>
      <w:color w:val="0000ff" w:themeColor="hyperlink"/>
      <w:u w:val="single"/>
    </w:rPr>
  </w:style>
  <w:style w:type="paragraph" w:styleId="883">
    <w:name w:val="footnote text"/>
    <w:basedOn w:val="900"/>
    <w:link w:val="884"/>
    <w:uiPriority w:val="99"/>
    <w:semiHidden/>
    <w:unhideWhenUsed/>
    <w:pPr>
      <w:spacing w:after="40" w:line="240" w:lineRule="auto"/>
    </w:pPr>
    <w:rPr>
      <w:sz w:val="18"/>
    </w:rPr>
  </w:style>
  <w:style w:type="character" w:styleId="884">
    <w:name w:val="Footnote Text Char"/>
    <w:link w:val="883"/>
    <w:uiPriority w:val="99"/>
    <w:rPr>
      <w:sz w:val="18"/>
    </w:rPr>
  </w:style>
  <w:style w:type="character" w:styleId="885">
    <w:name w:val="footnote reference"/>
    <w:uiPriority w:val="99"/>
    <w:unhideWhenUsed/>
    <w:rPr>
      <w:vertAlign w:val="superscript"/>
    </w:rPr>
  </w:style>
  <w:style w:type="paragraph" w:styleId="886">
    <w:name w:val="endnote text"/>
    <w:basedOn w:val="900"/>
    <w:link w:val="887"/>
    <w:uiPriority w:val="99"/>
    <w:semiHidden/>
    <w:unhideWhenUsed/>
    <w:pPr>
      <w:spacing w:after="0" w:line="240" w:lineRule="auto"/>
    </w:pPr>
    <w:rPr>
      <w:sz w:val="20"/>
    </w:rPr>
  </w:style>
  <w:style w:type="character" w:styleId="887">
    <w:name w:val="Endnote Text Char"/>
    <w:link w:val="886"/>
    <w:uiPriority w:val="99"/>
    <w:rPr>
      <w:sz w:val="20"/>
    </w:rPr>
  </w:style>
  <w:style w:type="character" w:styleId="888">
    <w:name w:val="endnote reference"/>
    <w:uiPriority w:val="99"/>
    <w:semiHidden/>
    <w:unhideWhenUsed/>
    <w:rPr>
      <w:vertAlign w:val="superscript"/>
    </w:rPr>
  </w:style>
  <w:style w:type="paragraph" w:styleId="889">
    <w:name w:val="toc 1"/>
    <w:basedOn w:val="900"/>
    <w:next w:val="900"/>
    <w:uiPriority w:val="39"/>
    <w:unhideWhenUsed/>
    <w:pPr>
      <w:ind w:left="0" w:right="0" w:firstLine="0"/>
      <w:spacing w:after="57"/>
    </w:pPr>
  </w:style>
  <w:style w:type="paragraph" w:styleId="890">
    <w:name w:val="toc 2"/>
    <w:basedOn w:val="900"/>
    <w:next w:val="900"/>
    <w:uiPriority w:val="39"/>
    <w:unhideWhenUsed/>
    <w:pPr>
      <w:ind w:left="283" w:right="0" w:firstLine="0"/>
      <w:spacing w:after="57"/>
    </w:pPr>
  </w:style>
  <w:style w:type="paragraph" w:styleId="891">
    <w:name w:val="toc 3"/>
    <w:basedOn w:val="900"/>
    <w:next w:val="900"/>
    <w:uiPriority w:val="39"/>
    <w:unhideWhenUsed/>
    <w:pPr>
      <w:ind w:left="567" w:right="0" w:firstLine="0"/>
      <w:spacing w:after="57"/>
    </w:pPr>
  </w:style>
  <w:style w:type="paragraph" w:styleId="892">
    <w:name w:val="toc 4"/>
    <w:basedOn w:val="900"/>
    <w:next w:val="900"/>
    <w:uiPriority w:val="39"/>
    <w:unhideWhenUsed/>
    <w:pPr>
      <w:ind w:left="850" w:right="0" w:firstLine="0"/>
      <w:spacing w:after="57"/>
    </w:pPr>
  </w:style>
  <w:style w:type="paragraph" w:styleId="893">
    <w:name w:val="toc 5"/>
    <w:basedOn w:val="900"/>
    <w:next w:val="900"/>
    <w:uiPriority w:val="39"/>
    <w:unhideWhenUsed/>
    <w:pPr>
      <w:ind w:left="1134" w:right="0" w:firstLine="0"/>
      <w:spacing w:after="57"/>
    </w:pPr>
  </w:style>
  <w:style w:type="paragraph" w:styleId="894">
    <w:name w:val="toc 6"/>
    <w:basedOn w:val="900"/>
    <w:next w:val="900"/>
    <w:uiPriority w:val="39"/>
    <w:unhideWhenUsed/>
    <w:pPr>
      <w:ind w:left="1417" w:right="0" w:firstLine="0"/>
      <w:spacing w:after="57"/>
    </w:pPr>
  </w:style>
  <w:style w:type="paragraph" w:styleId="895">
    <w:name w:val="toc 7"/>
    <w:basedOn w:val="900"/>
    <w:next w:val="900"/>
    <w:uiPriority w:val="39"/>
    <w:unhideWhenUsed/>
    <w:pPr>
      <w:ind w:left="1701" w:right="0" w:firstLine="0"/>
      <w:spacing w:after="57"/>
    </w:pPr>
  </w:style>
  <w:style w:type="paragraph" w:styleId="896">
    <w:name w:val="toc 8"/>
    <w:basedOn w:val="900"/>
    <w:next w:val="900"/>
    <w:uiPriority w:val="39"/>
    <w:unhideWhenUsed/>
    <w:pPr>
      <w:ind w:left="1984" w:right="0" w:firstLine="0"/>
      <w:spacing w:after="57"/>
    </w:pPr>
  </w:style>
  <w:style w:type="paragraph" w:styleId="897">
    <w:name w:val="toc 9"/>
    <w:basedOn w:val="900"/>
    <w:next w:val="900"/>
    <w:uiPriority w:val="39"/>
    <w:unhideWhenUsed/>
    <w:pPr>
      <w:ind w:left="2268" w:right="0" w:firstLine="0"/>
      <w:spacing w:after="57"/>
    </w:pPr>
  </w:style>
  <w:style w:type="paragraph" w:styleId="898">
    <w:name w:val="TOC Heading"/>
    <w:uiPriority w:val="39"/>
    <w:unhideWhenUsed/>
  </w:style>
  <w:style w:type="paragraph" w:styleId="899">
    <w:name w:val="table of figures"/>
    <w:basedOn w:val="900"/>
    <w:next w:val="900"/>
    <w:uiPriority w:val="99"/>
    <w:unhideWhenUsed/>
    <w:pPr>
      <w:spacing w:after="0" w:afterAutospacing="0"/>
    </w:pPr>
  </w:style>
  <w:style w:type="paragraph" w:styleId="900" w:default="1">
    <w:name w:val="Normal"/>
    <w:next w:val="900"/>
    <w:link w:val="900"/>
    <w:qFormat/>
    <w:rPr>
      <w:sz w:val="24"/>
      <w:szCs w:val="24"/>
      <w:lang w:val="ru-RU" w:eastAsia="ru-RU" w:bidi="ar-SA"/>
    </w:rPr>
  </w:style>
  <w:style w:type="paragraph" w:styleId="901">
    <w:name w:val="Заголовок 1,Document Header1,H1"/>
    <w:basedOn w:val="900"/>
    <w:next w:val="900"/>
    <w:link w:val="930"/>
    <w:qFormat/>
    <w:pPr>
      <w:keepNext/>
      <w:spacing w:before="240" w:after="60"/>
      <w:outlineLvl w:val="0"/>
    </w:pPr>
    <w:rPr>
      <w:rFonts w:ascii="Cambria" w:hAnsi="Cambria"/>
      <w:b/>
      <w:sz w:val="32"/>
      <w:szCs w:val="20"/>
      <w:lang w:val="en-US" w:eastAsia="en-US"/>
    </w:rPr>
  </w:style>
  <w:style w:type="paragraph" w:styleId="902">
    <w:name w:val="Заголовок 2,Заголовок 2 Знак,H2,H2 Знак,Заголовок 21"/>
    <w:basedOn w:val="900"/>
    <w:next w:val="900"/>
    <w:link w:val="900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903">
    <w:name w:val="Заголовок 3"/>
    <w:basedOn w:val="900"/>
    <w:next w:val="900"/>
    <w:link w:val="90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04">
    <w:name w:val="Заголовок 4"/>
    <w:basedOn w:val="900"/>
    <w:next w:val="900"/>
    <w:link w:val="932"/>
    <w:qFormat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905">
    <w:name w:val="Заголовок 5"/>
    <w:basedOn w:val="900"/>
    <w:next w:val="900"/>
    <w:link w:val="90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06">
    <w:name w:val="Заголовок 7"/>
    <w:basedOn w:val="900"/>
    <w:next w:val="900"/>
    <w:link w:val="900"/>
    <w:qFormat/>
    <w:pPr>
      <w:spacing w:before="240" w:after="60"/>
      <w:outlineLvl w:val="6"/>
    </w:pPr>
  </w:style>
  <w:style w:type="character" w:styleId="907">
    <w:name w:val="Основной шрифт абзаца"/>
    <w:next w:val="907"/>
    <w:link w:val="900"/>
    <w:semiHidden/>
  </w:style>
  <w:style w:type="table" w:styleId="908">
    <w:name w:val="Обычная таблица"/>
    <w:next w:val="908"/>
    <w:link w:val="900"/>
    <w:semiHidden/>
    <w:tblPr/>
  </w:style>
  <w:style w:type="numbering" w:styleId="909">
    <w:name w:val="Нет списка"/>
    <w:next w:val="909"/>
    <w:link w:val="900"/>
    <w:semiHidden/>
  </w:style>
  <w:style w:type="paragraph" w:styleId="910">
    <w:name w:val="ConsPlusNormal"/>
    <w:next w:val="910"/>
    <w:link w:val="90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11">
    <w:name w:val="ConsPlusNonformat"/>
    <w:next w:val="911"/>
    <w:link w:val="900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12">
    <w:name w:val="ConsPlusTitle"/>
    <w:next w:val="912"/>
    <w:link w:val="900"/>
    <w:pPr>
      <w:widowControl w:val="off"/>
    </w:pPr>
    <w:rPr>
      <w:rFonts w:ascii="Arial" w:hAnsi="Arial" w:cs="Arial"/>
      <w:b/>
      <w:bCs/>
      <w:lang w:val="ru-RU" w:eastAsia="ru-RU" w:bidi="ar-SA"/>
    </w:rPr>
  </w:style>
  <w:style w:type="table" w:styleId="913">
    <w:name w:val="Сетка таблицы"/>
    <w:basedOn w:val="908"/>
    <w:next w:val="913"/>
    <w:link w:val="900"/>
    <w:uiPriority w:val="59"/>
    <w:rPr>
      <w:lang w:val="ru-RU" w:eastAsia="ru-RU" w:bidi="ar-SA"/>
    </w:rPr>
    <w:tblPr/>
  </w:style>
  <w:style w:type="paragraph" w:styleId="914">
    <w:name w:val="Основной текст"/>
    <w:basedOn w:val="900"/>
    <w:next w:val="914"/>
    <w:link w:val="917"/>
    <w:rPr>
      <w:sz w:val="25"/>
      <w:szCs w:val="20"/>
      <w:lang w:eastAsia="en-US"/>
    </w:rPr>
  </w:style>
  <w:style w:type="paragraph" w:styleId="915">
    <w:name w:val="Нижний колонтитул"/>
    <w:basedOn w:val="900"/>
    <w:next w:val="915"/>
    <w:link w:val="935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16">
    <w:name w:val="Номер страницы"/>
    <w:next w:val="916"/>
    <w:link w:val="900"/>
    <w:rPr>
      <w:rFonts w:cs="Times New Roman"/>
    </w:rPr>
  </w:style>
  <w:style w:type="character" w:styleId="917">
    <w:name w:val="Основной текст Знак"/>
    <w:next w:val="917"/>
    <w:link w:val="914"/>
    <w:rPr>
      <w:sz w:val="25"/>
      <w:lang w:val="ru-RU" w:eastAsia="en-US"/>
    </w:rPr>
  </w:style>
  <w:style w:type="paragraph" w:styleId="918">
    <w:name w:val="Название"/>
    <w:basedOn w:val="900"/>
    <w:next w:val="918"/>
    <w:link w:val="919"/>
    <w:uiPriority w:val="99"/>
    <w:qFormat/>
    <w:pPr>
      <w:jc w:val="center"/>
      <w:widowControl w:val="off"/>
    </w:pPr>
    <w:rPr>
      <w:b/>
      <w:szCs w:val="20"/>
    </w:rPr>
  </w:style>
  <w:style w:type="character" w:styleId="919">
    <w:name w:val="Название Знак"/>
    <w:next w:val="919"/>
    <w:link w:val="918"/>
    <w:uiPriority w:val="99"/>
    <w:rPr>
      <w:b/>
      <w:sz w:val="24"/>
      <w:lang w:val="ru-RU" w:eastAsia="ru-RU"/>
    </w:rPr>
  </w:style>
  <w:style w:type="paragraph" w:styleId="920">
    <w:name w:val="Текст выноски"/>
    <w:basedOn w:val="900"/>
    <w:next w:val="920"/>
    <w:link w:val="900"/>
    <w:semiHidden/>
    <w:rPr>
      <w:rFonts w:ascii="Tahoma" w:hAnsi="Tahoma" w:cs="Tahoma"/>
      <w:sz w:val="16"/>
      <w:szCs w:val="16"/>
    </w:rPr>
  </w:style>
  <w:style w:type="paragraph" w:styleId="921">
    <w:name w:val="Основной текст с отступом 3"/>
    <w:basedOn w:val="900"/>
    <w:next w:val="921"/>
    <w:link w:val="931"/>
    <w:pPr>
      <w:ind w:left="283"/>
      <w:spacing w:after="120"/>
    </w:pPr>
    <w:rPr>
      <w:sz w:val="16"/>
      <w:szCs w:val="16"/>
      <w:lang w:val="en-US" w:eastAsia="en-US"/>
    </w:rPr>
  </w:style>
  <w:style w:type="paragraph" w:styleId="922">
    <w:name w:val="No Spacing"/>
    <w:next w:val="922"/>
    <w:link w:val="900"/>
    <w:rPr>
      <w:rFonts w:ascii="Calibri" w:hAnsi="Calibri"/>
      <w:sz w:val="22"/>
      <w:szCs w:val="22"/>
      <w:lang w:val="ru-RU" w:eastAsia="en-US" w:bidi="ar-SA"/>
    </w:rPr>
  </w:style>
  <w:style w:type="character" w:styleId="923">
    <w:name w:val="Знак примечания"/>
    <w:next w:val="923"/>
    <w:link w:val="900"/>
    <w:semiHidden/>
    <w:rPr>
      <w:sz w:val="16"/>
    </w:rPr>
  </w:style>
  <w:style w:type="paragraph" w:styleId="924">
    <w:name w:val="Текст примечания"/>
    <w:basedOn w:val="900"/>
    <w:next w:val="924"/>
    <w:link w:val="925"/>
    <w:semiHidden/>
    <w:rPr>
      <w:sz w:val="20"/>
      <w:szCs w:val="20"/>
      <w:lang w:val="en-US" w:eastAsia="en-US"/>
    </w:rPr>
  </w:style>
  <w:style w:type="character" w:styleId="925">
    <w:name w:val="Текст примечания Знак"/>
    <w:next w:val="925"/>
    <w:link w:val="924"/>
    <w:rPr>
      <w:rFonts w:cs="Times New Roman"/>
    </w:rPr>
  </w:style>
  <w:style w:type="paragraph" w:styleId="926">
    <w:name w:val="Тема примечания"/>
    <w:basedOn w:val="924"/>
    <w:next w:val="924"/>
    <w:link w:val="927"/>
    <w:semiHidden/>
    <w:rPr>
      <w:b/>
    </w:rPr>
  </w:style>
  <w:style w:type="character" w:styleId="927">
    <w:name w:val="Тема примечания Знак"/>
    <w:next w:val="927"/>
    <w:link w:val="926"/>
    <w:rPr>
      <w:b/>
    </w:rPr>
  </w:style>
  <w:style w:type="paragraph" w:styleId="928">
    <w:name w:val="Верхний колонтитул"/>
    <w:basedOn w:val="900"/>
    <w:next w:val="928"/>
    <w:link w:val="929"/>
    <w:pPr>
      <w:tabs>
        <w:tab w:val="center" w:pos="4677" w:leader="none"/>
        <w:tab w:val="right" w:pos="9355" w:leader="none"/>
      </w:tabs>
    </w:pPr>
    <w:rPr>
      <w:szCs w:val="20"/>
      <w:lang w:val="en-US" w:eastAsia="en-US"/>
    </w:rPr>
  </w:style>
  <w:style w:type="character" w:styleId="929">
    <w:name w:val="Верхний колонтитул Знак"/>
    <w:next w:val="929"/>
    <w:link w:val="928"/>
    <w:rPr>
      <w:sz w:val="24"/>
    </w:rPr>
  </w:style>
  <w:style w:type="character" w:styleId="930">
    <w:name w:val="Заголовок 1 Знак,Document Header1 Знак,H1 Знак"/>
    <w:next w:val="930"/>
    <w:link w:val="901"/>
    <w:rPr>
      <w:rFonts w:ascii="Cambria" w:hAnsi="Cambria"/>
      <w:b/>
      <w:sz w:val="32"/>
    </w:rPr>
  </w:style>
  <w:style w:type="character" w:styleId="931">
    <w:name w:val="Основной текст с отступом 3 Знак"/>
    <w:next w:val="931"/>
    <w:link w:val="921"/>
    <w:rPr>
      <w:rFonts w:cs="Times New Roman"/>
      <w:sz w:val="16"/>
      <w:szCs w:val="16"/>
    </w:rPr>
  </w:style>
  <w:style w:type="character" w:styleId="932">
    <w:name w:val="Заголовок 4 Знак"/>
    <w:next w:val="932"/>
    <w:link w:val="904"/>
    <w:rPr>
      <w:rFonts w:cs="Times New Roman"/>
      <w:b/>
      <w:bCs/>
      <w:sz w:val="28"/>
      <w:szCs w:val="28"/>
    </w:rPr>
  </w:style>
  <w:style w:type="paragraph" w:styleId="933">
    <w:name w:val="Текст сноски"/>
    <w:basedOn w:val="900"/>
    <w:next w:val="933"/>
    <w:link w:val="934"/>
    <w:uiPriority w:val="99"/>
    <w:semiHidden/>
    <w:rPr>
      <w:sz w:val="20"/>
      <w:szCs w:val="20"/>
      <w:lang w:val="en-US" w:eastAsia="en-US"/>
    </w:rPr>
  </w:style>
  <w:style w:type="character" w:styleId="934">
    <w:name w:val="Текст сноски Знак"/>
    <w:next w:val="934"/>
    <w:link w:val="933"/>
    <w:uiPriority w:val="99"/>
    <w:semiHidden/>
    <w:rPr>
      <w:rFonts w:cs="Times New Roman"/>
    </w:rPr>
  </w:style>
  <w:style w:type="character" w:styleId="935">
    <w:name w:val="Нижний колонтитул Знак"/>
    <w:next w:val="935"/>
    <w:link w:val="915"/>
    <w:rPr>
      <w:rFonts w:cs="Times New Roman"/>
      <w:sz w:val="24"/>
      <w:szCs w:val="24"/>
    </w:rPr>
  </w:style>
  <w:style w:type="paragraph" w:styleId="936">
    <w:name w:val="List Paragraph"/>
    <w:basedOn w:val="900"/>
    <w:next w:val="936"/>
    <w:link w:val="900"/>
    <w:pPr>
      <w:ind w:left="720"/>
    </w:pPr>
  </w:style>
  <w:style w:type="paragraph" w:styleId="937">
    <w:name w:val="Таблица шапка"/>
    <w:basedOn w:val="900"/>
    <w:next w:val="937"/>
    <w:link w:val="900"/>
    <w:pPr>
      <w:ind w:left="57" w:right="57"/>
      <w:keepNext/>
      <w:spacing w:before="40" w:after="40"/>
    </w:pPr>
    <w:rPr>
      <w:szCs w:val="20"/>
    </w:rPr>
  </w:style>
  <w:style w:type="paragraph" w:styleId="938">
    <w:name w:val="Таблица текст"/>
    <w:basedOn w:val="900"/>
    <w:next w:val="938"/>
    <w:link w:val="900"/>
    <w:pPr>
      <w:ind w:left="57" w:right="57"/>
      <w:spacing w:before="40" w:after="40"/>
    </w:pPr>
    <w:rPr>
      <w:sz w:val="28"/>
      <w:szCs w:val="20"/>
    </w:rPr>
  </w:style>
  <w:style w:type="character" w:styleId="939">
    <w:name w:val="Пункт Знак1"/>
    <w:next w:val="939"/>
    <w:link w:val="940"/>
    <w:rPr>
      <w:sz w:val="28"/>
    </w:rPr>
  </w:style>
  <w:style w:type="paragraph" w:styleId="940">
    <w:name w:val="Пункт"/>
    <w:basedOn w:val="900"/>
    <w:next w:val="940"/>
    <w:link w:val="939"/>
    <w:pPr>
      <w:jc w:val="both"/>
      <w:spacing w:line="360" w:lineRule="auto"/>
    </w:pPr>
    <w:rPr>
      <w:sz w:val="28"/>
      <w:szCs w:val="20"/>
      <w:lang w:val="en-US" w:eastAsia="en-US"/>
    </w:rPr>
  </w:style>
  <w:style w:type="character" w:styleId="941">
    <w:name w:val="Знак сноски"/>
    <w:next w:val="941"/>
    <w:link w:val="900"/>
    <w:uiPriority w:val="99"/>
    <w:semiHidden/>
    <w:rPr>
      <w:rFonts w:cs="Times New Roman"/>
      <w:vertAlign w:val="superscript"/>
    </w:rPr>
  </w:style>
  <w:style w:type="character" w:styleId="942">
    <w:name w:val="Пункт Знак2"/>
    <w:next w:val="942"/>
    <w:link w:val="900"/>
    <w:rPr>
      <w:rFonts w:ascii="Times New Roman" w:hAnsi="Times New Roman"/>
      <w:sz w:val="28"/>
      <w:lang w:val="en-US" w:eastAsia="ru-RU"/>
    </w:rPr>
  </w:style>
  <w:style w:type="paragraph" w:styleId="943">
    <w:name w:val="tekstob"/>
    <w:basedOn w:val="900"/>
    <w:next w:val="943"/>
    <w:link w:val="900"/>
    <w:pPr>
      <w:spacing w:before="100" w:beforeAutospacing="1" w:after="100" w:afterAutospacing="1"/>
    </w:pPr>
  </w:style>
  <w:style w:type="paragraph" w:styleId="944">
    <w:name w:val="Подподпункт"/>
    <w:basedOn w:val="900"/>
    <w:next w:val="944"/>
    <w:link w:val="900"/>
    <w:uiPriority w:val="99"/>
    <w:pPr>
      <w:numPr>
        <w:ilvl w:val="4"/>
        <w:numId w:val="0"/>
      </w:numPr>
      <w:ind w:left="3600" w:hanging="360"/>
      <w:jc w:val="both"/>
      <w:spacing w:line="360" w:lineRule="auto"/>
      <w:tabs>
        <w:tab w:val="num" w:pos="2880" w:leader="none"/>
        <w:tab w:val="num" w:pos="3600" w:leader="none"/>
      </w:tabs>
    </w:pPr>
    <w:rPr>
      <w:sz w:val="28"/>
      <w:szCs w:val="28"/>
    </w:rPr>
  </w:style>
  <w:style w:type="paragraph" w:styleId="945">
    <w:name w:val="Подпункт"/>
    <w:basedOn w:val="940"/>
    <w:next w:val="945"/>
    <w:link w:val="900"/>
    <w:pPr>
      <w:ind w:left="2880" w:hanging="360"/>
      <w:tabs>
        <w:tab w:val="num" w:pos="2880" w:leader="none"/>
      </w:tabs>
    </w:pPr>
    <w:rPr>
      <w:szCs w:val="28"/>
    </w:rPr>
  </w:style>
  <w:style w:type="paragraph" w:styleId="946">
    <w:name w:val="Абзац списка1"/>
    <w:basedOn w:val="900"/>
    <w:next w:val="946"/>
    <w:link w:val="900"/>
    <w:pPr>
      <w:ind w:left="720"/>
      <w:spacing w:after="200" w:line="276" w:lineRule="auto"/>
    </w:pPr>
    <w:rPr>
      <w:rFonts w:ascii="Calibri" w:hAnsi="Calibri" w:cs="Calibri"/>
      <w:sz w:val="22"/>
      <w:szCs w:val="22"/>
    </w:rPr>
  </w:style>
  <w:style w:type="character" w:styleId="947">
    <w:name w:val="комментарий"/>
    <w:next w:val="947"/>
    <w:link w:val="900"/>
    <w:rPr>
      <w:b/>
      <w:i/>
      <w:shd w:val="clear" w:color="auto" w:fill="ffff99"/>
    </w:rPr>
  </w:style>
  <w:style w:type="paragraph" w:styleId="948">
    <w:name w:val="Основной текст с отступом 2"/>
    <w:basedOn w:val="900"/>
    <w:next w:val="948"/>
    <w:link w:val="949"/>
    <w:pPr>
      <w:ind w:left="283"/>
      <w:spacing w:after="120" w:line="480" w:lineRule="auto"/>
    </w:pPr>
    <w:rPr>
      <w:lang w:val="en-US" w:eastAsia="en-US"/>
    </w:rPr>
  </w:style>
  <w:style w:type="character" w:styleId="949">
    <w:name w:val="Основной текст с отступом 2 Знак"/>
    <w:next w:val="949"/>
    <w:link w:val="948"/>
    <w:rPr>
      <w:rFonts w:cs="Times New Roman"/>
      <w:sz w:val="24"/>
      <w:szCs w:val="24"/>
    </w:rPr>
  </w:style>
  <w:style w:type="character" w:styleId="950">
    <w:name w:val="Пункт Знак"/>
    <w:next w:val="950"/>
    <w:link w:val="900"/>
    <w:rPr>
      <w:rFonts w:cs="Times New Roman"/>
      <w:sz w:val="28"/>
      <w:lang w:val="ru-RU" w:eastAsia="ru-RU" w:bidi="ar-SA"/>
    </w:rPr>
  </w:style>
  <w:style w:type="paragraph" w:styleId="951">
    <w:name w:val="Абзац списка"/>
    <w:basedOn w:val="900"/>
    <w:next w:val="951"/>
    <w:link w:val="962"/>
    <w:uiPriority w:val="34"/>
    <w:qFormat/>
    <w:pPr>
      <w:contextualSpacing/>
      <w:ind w:left="720"/>
    </w:pPr>
  </w:style>
  <w:style w:type="character" w:styleId="952">
    <w:name w:val="Font Style25"/>
    <w:next w:val="952"/>
    <w:link w:val="900"/>
    <w:uiPriority w:val="99"/>
    <w:rPr>
      <w:rFonts w:ascii="Times New Roman" w:hAnsi="Times New Roman" w:cs="Times New Roman"/>
      <w:sz w:val="22"/>
      <w:szCs w:val="22"/>
    </w:rPr>
  </w:style>
  <w:style w:type="paragraph" w:styleId="953">
    <w:name w:val="Style7"/>
    <w:basedOn w:val="900"/>
    <w:next w:val="953"/>
    <w:link w:val="900"/>
    <w:uiPriority w:val="99"/>
    <w:pPr>
      <w:jc w:val="both"/>
      <w:spacing w:line="281" w:lineRule="exact"/>
      <w:widowControl w:val="off"/>
    </w:pPr>
  </w:style>
  <w:style w:type="paragraph" w:styleId="954">
    <w:name w:val="Style20"/>
    <w:basedOn w:val="900"/>
    <w:next w:val="954"/>
    <w:link w:val="900"/>
    <w:uiPriority w:val="99"/>
    <w:pPr>
      <w:jc w:val="both"/>
      <w:spacing w:line="274" w:lineRule="exact"/>
      <w:widowControl w:val="off"/>
    </w:pPr>
  </w:style>
  <w:style w:type="paragraph" w:styleId="955">
    <w:name w:val="Style28"/>
    <w:basedOn w:val="900"/>
    <w:next w:val="955"/>
    <w:link w:val="900"/>
    <w:uiPriority w:val="99"/>
    <w:pPr>
      <w:spacing w:line="259" w:lineRule="exact"/>
      <w:widowControl w:val="off"/>
    </w:pPr>
  </w:style>
  <w:style w:type="character" w:styleId="956">
    <w:name w:val="Font Style42"/>
    <w:next w:val="956"/>
    <w:link w:val="900"/>
    <w:uiPriority w:val="99"/>
    <w:rPr>
      <w:rFonts w:ascii="Times New Roman" w:hAnsi="Times New Roman" w:cs="Times New Roman"/>
      <w:sz w:val="22"/>
      <w:szCs w:val="22"/>
    </w:rPr>
  </w:style>
  <w:style w:type="paragraph" w:styleId="957">
    <w:name w:val="Style12"/>
    <w:basedOn w:val="900"/>
    <w:next w:val="957"/>
    <w:link w:val="900"/>
    <w:uiPriority w:val="99"/>
    <w:pPr>
      <w:ind w:hanging="684"/>
      <w:jc w:val="both"/>
      <w:spacing w:line="276" w:lineRule="exact"/>
      <w:widowControl w:val="off"/>
    </w:pPr>
  </w:style>
  <w:style w:type="character" w:styleId="958">
    <w:name w:val="Гиперссылка"/>
    <w:next w:val="958"/>
    <w:link w:val="900"/>
    <w:rPr>
      <w:color w:val="0000ff"/>
      <w:u w:val="single"/>
    </w:rPr>
  </w:style>
  <w:style w:type="table" w:styleId="959">
    <w:name w:val="Сетка таблицы1"/>
    <w:basedOn w:val="908"/>
    <w:next w:val="913"/>
    <w:link w:val="900"/>
    <w:tblPr/>
  </w:style>
  <w:style w:type="paragraph" w:styleId="960">
    <w:name w:val="Default"/>
    <w:next w:val="960"/>
    <w:link w:val="900"/>
    <w:rPr>
      <w:color w:val="000000"/>
      <w:sz w:val="24"/>
      <w:szCs w:val="24"/>
      <w:lang w:val="ru-RU" w:eastAsia="ru-RU" w:bidi="ar-SA"/>
    </w:rPr>
  </w:style>
  <w:style w:type="character" w:styleId="961">
    <w:name w:val="Строгий"/>
    <w:next w:val="961"/>
    <w:link w:val="900"/>
    <w:uiPriority w:val="22"/>
    <w:qFormat/>
    <w:rPr>
      <w:b/>
      <w:bCs/>
    </w:rPr>
  </w:style>
  <w:style w:type="character" w:styleId="962">
    <w:name w:val="Абзац списка Знак"/>
    <w:next w:val="962"/>
    <w:link w:val="951"/>
    <w:uiPriority w:val="34"/>
    <w:rPr>
      <w:sz w:val="24"/>
      <w:szCs w:val="24"/>
    </w:rPr>
  </w:style>
  <w:style w:type="character" w:styleId="963">
    <w:name w:val="docdata,docy,v5,1964,bqiaagaaeyqcaaagiaiaaamkbqaabrgfaaaaaaaaaaaaaaaaaaaaaaaaaaaaaaaaaaaaaaaaaaaaaaaaaaaaaaaaaaaaaaaaaaaaaaaaaaaaaaaaaaaaaaaaaaaaaaaaaaaaaaaaaaaaaaaaaaaaaaaaaaaaaaaaaaaaaaaaaaaaaaaaaaaaaaaaaaaaaaaaaaaaaaaaaaaaaaaaaaaaaaaaaaaaaaaaaaaaaaaa"/>
    <w:next w:val="963"/>
    <w:link w:val="900"/>
  </w:style>
  <w:style w:type="paragraph" w:styleId="964">
    <w:name w:val="docdata4,docy4,v54,23381"/>
    <w:basedOn w:val="900"/>
    <w:next w:val="964"/>
    <w:link w:val="900"/>
    <w:rPr>
      <w:rFonts w:ascii="Calibri" w:hAnsi="Calibri" w:eastAsia="Calibri" w:cs="Calibri"/>
      <w:sz w:val="22"/>
      <w:szCs w:val="22"/>
    </w:rPr>
  </w:style>
  <w:style w:type="paragraph" w:styleId="965">
    <w:name w:val="Обычный (веб)"/>
    <w:basedOn w:val="900"/>
    <w:next w:val="965"/>
    <w:link w:val="900"/>
    <w:uiPriority w:val="99"/>
    <w:unhideWhenUsed/>
    <w:rPr>
      <w:rFonts w:ascii="Calibri" w:hAnsi="Calibri" w:eastAsia="Calibri" w:cs="Calibri"/>
      <w:sz w:val="22"/>
      <w:szCs w:val="22"/>
    </w:rPr>
  </w:style>
  <w:style w:type="paragraph" w:styleId="966">
    <w:name w:val="docdata5,docy5,v55,22091"/>
    <w:basedOn w:val="900"/>
    <w:next w:val="966"/>
    <w:link w:val="900"/>
    <w:uiPriority w:val="99"/>
    <w:semiHidden/>
    <w:rPr>
      <w:rFonts w:ascii="Calibri" w:hAnsi="Calibri" w:eastAsia="Calibri" w:cs="Calibri"/>
      <w:sz w:val="22"/>
      <w:szCs w:val="22"/>
    </w:rPr>
  </w:style>
  <w:style w:type="character" w:styleId="967" w:default="1">
    <w:name w:val="Default Paragraph Font"/>
    <w:uiPriority w:val="1"/>
    <w:semiHidden/>
    <w:unhideWhenUsed/>
  </w:style>
  <w:style w:type="numbering" w:styleId="968" w:default="1">
    <w:name w:val="No List"/>
    <w:uiPriority w:val="99"/>
    <w:semiHidden/>
    <w:unhideWhenUsed/>
  </w:style>
  <w:style w:type="table" w:styleId="96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АГЕНТСКИЙ ДОГОВОР N _______</dc:title>
  <dc:creator>Galinova</dc:creator>
  <cp:lastModifiedBy>oleshko_vn</cp:lastModifiedBy>
  <cp:revision>43</cp:revision>
  <dcterms:created xsi:type="dcterms:W3CDTF">2018-11-02T06:49:00Z</dcterms:created>
  <dcterms:modified xsi:type="dcterms:W3CDTF">2026-03-30T08:35:17Z</dcterms:modified>
  <cp:version>1048576</cp:version>
</cp:coreProperties>
</file>